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75C" w:rsidRDefault="00C156DC">
      <w:pPr>
        <w:pBdr>
          <w:top w:val="nil"/>
          <w:left w:val="nil"/>
          <w:bottom w:val="nil"/>
          <w:right w:val="nil"/>
          <w:between w:val="nil"/>
        </w:pBdr>
        <w:spacing w:after="120" w:line="240" w:lineRule="auto"/>
        <w:ind w:left="1" w:hanging="3"/>
        <w:jc w:val="center"/>
        <w:rPr>
          <w:rFonts w:ascii="標楷體" w:eastAsia="標楷體" w:hAnsi="標楷體" w:cs="標楷體"/>
          <w:color w:val="000000"/>
          <w:szCs w:val="24"/>
        </w:rPr>
      </w:pPr>
      <w:r>
        <w:rPr>
          <w:rFonts w:ascii="標楷體" w:eastAsia="標楷體" w:hAnsi="標楷體" w:cs="標楷體"/>
          <w:b/>
          <w:color w:val="000000"/>
          <w:sz w:val="28"/>
          <w:szCs w:val="28"/>
        </w:rPr>
        <w:t>嘉義市</w:t>
      </w:r>
      <w:r>
        <w:rPr>
          <w:rFonts w:ascii="標楷體" w:eastAsia="標楷體" w:hAnsi="標楷體" w:cs="標楷體"/>
          <w:b/>
          <w:sz w:val="28"/>
          <w:szCs w:val="28"/>
        </w:rPr>
        <w:t>港坪</w:t>
      </w:r>
      <w:r>
        <w:rPr>
          <w:rFonts w:ascii="標楷體" w:eastAsia="標楷體" w:hAnsi="標楷體" w:cs="標楷體"/>
          <w:b/>
          <w:color w:val="000000"/>
          <w:sz w:val="28"/>
          <w:szCs w:val="28"/>
        </w:rPr>
        <w:t>國民小學部定課程(自然</w:t>
      </w:r>
      <w:r>
        <w:rPr>
          <w:rFonts w:ascii="標楷體" w:eastAsia="標楷體" w:hAnsi="標楷體" w:cs="標楷體"/>
          <w:b/>
          <w:sz w:val="28"/>
          <w:szCs w:val="28"/>
        </w:rPr>
        <w:t>科</w:t>
      </w:r>
      <w:r w:rsidR="00A04337">
        <w:rPr>
          <w:rFonts w:ascii="標楷體" w:eastAsia="標楷體" w:hAnsi="標楷體" w:cs="標楷體" w:hint="eastAsia"/>
          <w:b/>
          <w:sz w:val="28"/>
          <w:szCs w:val="28"/>
        </w:rPr>
        <w:t>學</w:t>
      </w:r>
      <w:r>
        <w:rPr>
          <w:rFonts w:ascii="標楷體" w:eastAsia="標楷體" w:hAnsi="標楷體" w:cs="標楷體"/>
          <w:b/>
          <w:color w:val="000000"/>
          <w:sz w:val="28"/>
          <w:szCs w:val="28"/>
        </w:rPr>
        <w:t>領域)課程計畫</w:t>
      </w:r>
      <w:r>
        <w:rPr>
          <w:rFonts w:ascii="標楷體" w:eastAsia="標楷體" w:hAnsi="標楷體" w:cs="標楷體"/>
          <w:color w:val="000000"/>
          <w:szCs w:val="24"/>
        </w:rPr>
        <w:t xml:space="preserve"> </w:t>
      </w:r>
    </w:p>
    <w:tbl>
      <w:tblPr>
        <w:tblStyle w:val="aa"/>
        <w:tblW w:w="9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718"/>
        <w:gridCol w:w="994"/>
        <w:gridCol w:w="400"/>
        <w:gridCol w:w="725"/>
        <w:gridCol w:w="1262"/>
        <w:gridCol w:w="103"/>
        <w:gridCol w:w="901"/>
        <w:gridCol w:w="709"/>
        <w:gridCol w:w="881"/>
        <w:gridCol w:w="993"/>
        <w:gridCol w:w="1394"/>
      </w:tblGrid>
      <w:tr w:rsidR="0061075C">
        <w:trPr>
          <w:trHeight w:val="340"/>
        </w:trPr>
        <w:tc>
          <w:tcPr>
            <w:tcW w:w="9755" w:type="dxa"/>
            <w:gridSpan w:val="1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嘉義市</w:t>
            </w:r>
            <w:r>
              <w:rPr>
                <w:rFonts w:ascii="標楷體" w:eastAsia="標楷體" w:hAnsi="標楷體" w:cs="標楷體"/>
                <w:szCs w:val="24"/>
              </w:rPr>
              <w:t>港坪</w:t>
            </w:r>
            <w:r>
              <w:rPr>
                <w:rFonts w:ascii="標楷體" w:eastAsia="標楷體" w:hAnsi="標楷體" w:cs="標楷體"/>
                <w:color w:val="000000"/>
                <w:szCs w:val="24"/>
              </w:rPr>
              <w:t>國民小學11</w:t>
            </w:r>
            <w:r w:rsidR="00A04337">
              <w:rPr>
                <w:rFonts w:ascii="標楷體" w:eastAsia="標楷體" w:hAnsi="標楷體" w:cs="標楷體" w:hint="eastAsia"/>
                <w:color w:val="000000"/>
                <w:szCs w:val="24"/>
              </w:rPr>
              <w:t>1</w:t>
            </w:r>
            <w:r>
              <w:rPr>
                <w:rFonts w:ascii="標楷體" w:eastAsia="標楷體" w:hAnsi="標楷體" w:cs="標楷體"/>
                <w:color w:val="000000"/>
                <w:szCs w:val="24"/>
              </w:rPr>
              <w:t xml:space="preserve">學年度第一學期 </w:t>
            </w:r>
            <w:r>
              <w:rPr>
                <w:rFonts w:ascii="標楷體" w:eastAsia="標楷體" w:hAnsi="標楷體" w:cs="標楷體"/>
                <w:color w:val="000000"/>
                <w:szCs w:val="24"/>
                <w:u w:val="single"/>
              </w:rPr>
              <w:t>三</w:t>
            </w:r>
            <w:r>
              <w:rPr>
                <w:rFonts w:ascii="標楷體" w:eastAsia="標楷體" w:hAnsi="標楷體" w:cs="標楷體"/>
                <w:color w:val="000000"/>
                <w:szCs w:val="24"/>
              </w:rPr>
              <w:t xml:space="preserve"> 年級 </w:t>
            </w:r>
            <w:r>
              <w:rPr>
                <w:rFonts w:ascii="標楷體" w:eastAsia="標楷體" w:hAnsi="標楷體" w:cs="標楷體"/>
                <w:color w:val="000000"/>
                <w:szCs w:val="24"/>
                <w:u w:val="single"/>
              </w:rPr>
              <w:t>自然</w:t>
            </w:r>
            <w:r>
              <w:rPr>
                <w:rFonts w:ascii="標楷體" w:eastAsia="標楷體" w:hAnsi="標楷體" w:cs="標楷體"/>
                <w:szCs w:val="24"/>
                <w:u w:val="single"/>
              </w:rPr>
              <w:t>科</w:t>
            </w:r>
            <w:r w:rsidR="00A04337">
              <w:rPr>
                <w:rFonts w:ascii="標楷體" w:eastAsia="標楷體" w:hAnsi="標楷體" w:cs="標楷體" w:hint="eastAsia"/>
                <w:szCs w:val="24"/>
                <w:u w:val="single"/>
              </w:rPr>
              <w:t>學</w:t>
            </w:r>
            <w:r>
              <w:rPr>
                <w:rFonts w:ascii="標楷體" w:eastAsia="標楷體" w:hAnsi="標楷體" w:cs="標楷體"/>
                <w:szCs w:val="24"/>
                <w:u w:val="single"/>
              </w:rPr>
              <w:t>領域</w:t>
            </w:r>
            <w:r>
              <w:rPr>
                <w:rFonts w:ascii="標楷體" w:eastAsia="標楷體" w:hAnsi="標楷體" w:cs="標楷體"/>
                <w:color w:val="000000"/>
                <w:szCs w:val="24"/>
              </w:rPr>
              <w:t xml:space="preserve"> 課程計畫</w:t>
            </w:r>
          </w:p>
        </w:tc>
      </w:tr>
      <w:tr w:rsidR="0061075C">
        <w:trPr>
          <w:trHeight w:val="340"/>
        </w:trPr>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每週節數</w:t>
            </w:r>
          </w:p>
        </w:tc>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3節</w:t>
            </w:r>
          </w:p>
        </w:tc>
        <w:tc>
          <w:tcPr>
            <w:tcW w:w="2594" w:type="dxa"/>
            <w:gridSpan w:val="4"/>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設計者</w:t>
            </w:r>
          </w:p>
        </w:tc>
        <w:tc>
          <w:tcPr>
            <w:tcW w:w="2387" w:type="dxa"/>
            <w:gridSpan w:val="2"/>
          </w:tcPr>
          <w:p w:rsidR="0061075C" w:rsidRDefault="00797BA1">
            <w:pPr>
              <w:pBdr>
                <w:top w:val="nil"/>
                <w:left w:val="nil"/>
                <w:bottom w:val="nil"/>
                <w:right w:val="nil"/>
                <w:between w:val="nil"/>
              </w:pBdr>
              <w:spacing w:line="240" w:lineRule="auto"/>
              <w:ind w:left="0" w:hanging="2"/>
              <w:jc w:val="both"/>
              <w:rPr>
                <w:rFonts w:ascii="標楷體" w:eastAsia="標楷體" w:hAnsi="標楷體" w:cs="標楷體" w:hint="eastAsia"/>
                <w:color w:val="000000"/>
                <w:sz w:val="22"/>
              </w:rPr>
            </w:pPr>
            <w:r>
              <w:rPr>
                <w:rFonts w:ascii="標楷體" w:eastAsia="標楷體" w:hAnsi="標楷體" w:cs="標楷體"/>
                <w:color w:val="000000"/>
                <w:sz w:val="22"/>
              </w:rPr>
              <w:t xml:space="preserve">    </w:t>
            </w:r>
            <w:bookmarkStart w:id="0" w:name="_GoBack"/>
            <w:r w:rsidR="00054D55">
              <w:rPr>
                <w:rFonts w:ascii="標楷體" w:eastAsia="標楷體" w:hAnsi="標楷體" w:cs="標楷體" w:hint="eastAsia"/>
                <w:color w:val="000000"/>
                <w:sz w:val="22"/>
              </w:rPr>
              <w:t>楊高峰</w:t>
            </w:r>
            <w:bookmarkEnd w:id="0"/>
          </w:p>
        </w:tc>
      </w:tr>
      <w:tr w:rsidR="0061075C">
        <w:trPr>
          <w:trHeight w:val="320"/>
        </w:trPr>
        <w:tc>
          <w:tcPr>
            <w:tcW w:w="2387" w:type="dxa"/>
            <w:gridSpan w:val="3"/>
            <w:vMerge w:val="restart"/>
            <w:vAlign w:val="center"/>
          </w:tcPr>
          <w:p w:rsidR="0061075C" w:rsidRDefault="00C156DC">
            <w:pPr>
              <w:pBdr>
                <w:top w:val="nil"/>
                <w:left w:val="nil"/>
                <w:bottom w:val="nil"/>
                <w:right w:val="nil"/>
                <w:between w:val="nil"/>
              </w:pBdr>
              <w:spacing w:line="240" w:lineRule="auto"/>
              <w:ind w:left="0" w:hanging="2"/>
              <w:jc w:val="center"/>
              <w:rPr>
                <w:color w:val="000000"/>
                <w:szCs w:val="24"/>
              </w:rPr>
            </w:pPr>
            <w:r>
              <w:rPr>
                <w:rFonts w:eastAsia="Calibri"/>
                <w:color w:val="000000"/>
                <w:szCs w:val="24"/>
              </w:rPr>
              <w:t>核心素養</w:t>
            </w:r>
          </w:p>
        </w:tc>
        <w:tc>
          <w:tcPr>
            <w:tcW w:w="1125" w:type="dxa"/>
            <w:gridSpan w:val="2"/>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總綱</w:t>
            </w:r>
          </w:p>
        </w:tc>
        <w:tc>
          <w:tcPr>
            <w:tcW w:w="6243" w:type="dxa"/>
            <w:gridSpan w:val="7"/>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A1身心素質與自我精進</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A2系統思考與解決問題</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A3規劃執行與創新應變</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B1符號運用與溝通表達</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B3藝術涵養與美感素養</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C1道德實踐與公民意識</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 w:val="20"/>
                <w:szCs w:val="20"/>
              </w:rPr>
              <w:t>C2人際關係與團隊合作</w:t>
            </w:r>
          </w:p>
        </w:tc>
      </w:tr>
      <w:tr w:rsidR="0061075C">
        <w:trPr>
          <w:trHeight w:val="320"/>
        </w:trPr>
        <w:tc>
          <w:tcPr>
            <w:tcW w:w="2387" w:type="dxa"/>
            <w:gridSpan w:val="3"/>
            <w:vMerge/>
            <w:vAlign w:val="center"/>
          </w:tcPr>
          <w:p w:rsidR="0061075C" w:rsidRDefault="0061075C">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125" w:type="dxa"/>
            <w:gridSpan w:val="2"/>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領綱</w:t>
            </w:r>
          </w:p>
        </w:tc>
        <w:tc>
          <w:tcPr>
            <w:tcW w:w="6243" w:type="dxa"/>
            <w:gridSpan w:val="7"/>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自-E-A1能運用五官，敏銳的觀察周遭環境，保持好奇心、想像力持續探索自然。</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自-E-A2能運用好奇心及想像能力，從觀察、閱讀、思考所得的資訊或數據中，提出適合科學探究的問題或解釋資料，並能依據已知的科學知識、科學概念及探索科學的方法去想像可能發生的事情，以及理解科學事實會有不同的論點、證據或解釋方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自-E-A3具備透過實地操作探究活動探索科學問題的能力，並能初步根據問題特性、資源的有無等因素，規劃簡單步驟，操作適合學習階段的器材儀器、科技設備及資源，進行自然科學實驗。</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自-E-B1能分析比較、製作圖表、運用簡單數學等方法，整理已有的自然科學資訊或數據，並利用較簡單形式的口語、文字、影像、繪圖或實物、科學名詞、數學公式、模型等，表達探究之過程、發現或成果。</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自-E-B3透過五官知覺觀察周遭環境的動植物與自然現象，知道如何欣賞美的事物。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自-E-C1培養愛護自然、珍愛生命、惜取資源的關懷心與行動力。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自-E-C2透過探索科學的合作學習，培養與同儕溝通表達、團隊合作及和諧相處的能力。</w:t>
            </w:r>
          </w:p>
        </w:tc>
      </w:tr>
      <w:tr w:rsidR="0061075C">
        <w:trPr>
          <w:trHeight w:val="219"/>
        </w:trPr>
        <w:tc>
          <w:tcPr>
            <w:tcW w:w="2387" w:type="dxa"/>
            <w:gridSpan w:val="3"/>
            <w:vMerge w:val="restart"/>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學習重點</w:t>
            </w:r>
          </w:p>
        </w:tc>
        <w:tc>
          <w:tcPr>
            <w:tcW w:w="1125" w:type="dxa"/>
            <w:gridSpan w:val="2"/>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學習表現</w:t>
            </w:r>
          </w:p>
        </w:tc>
        <w:tc>
          <w:tcPr>
            <w:tcW w:w="6243" w:type="dxa"/>
            <w:gridSpan w:val="7"/>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ah-Ⅱ-1透過各種感官了解生活周遭事物的屬性。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ai-Ⅱ-3透過動手實作，享受以成品來表現自己構想的樂趣。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an-Ⅱ-1體會科學的探索都是由問題開始。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an-Ⅱ-2察覺科學家們是利用不同的方式探索自然與物質世界的形式與規律。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pa-Ⅱ-2能從得到的資訊或數據，形成解釋、得到解答、解決問題。並能將自己的探究結果和他人的結果（例如：來自老師）相比較，檢查是否相近。</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pc-Ⅱ-2能利用簡單形式的口語、文字或圖畫等，表達探究之過程、發現。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pe-Ⅱ-1能了解一個因素改變可能造成的影響，進而預測活動的大致結果。在教師或教科書的指導或說明下，能了解探究的計畫。</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pe-Ⅱ-2能正確安全操作適合學習階段的物品、器材儀器、科技設備及資源，並能觀測和記錄。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ti-Ⅱ-1能在指導下觀察日常生活現象的規律性，並運用想像力及好奇心，了解及描述自然環境的現象。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tm-Ⅱ-1能經由觀察自然界現象之間的關係，理解簡單的概念模型，</w:t>
            </w:r>
            <w:r>
              <w:rPr>
                <w:rFonts w:ascii="標楷體" w:eastAsia="標楷體" w:hAnsi="標楷體" w:cs="標楷體"/>
                <w:color w:val="000000"/>
                <w:sz w:val="20"/>
                <w:szCs w:val="20"/>
              </w:rPr>
              <w:lastRenderedPageBreak/>
              <w:t>進而與其生活經驗連結。</w:t>
            </w:r>
          </w:p>
        </w:tc>
      </w:tr>
      <w:tr w:rsidR="0061075C">
        <w:trPr>
          <w:trHeight w:val="219"/>
        </w:trPr>
        <w:tc>
          <w:tcPr>
            <w:tcW w:w="2387" w:type="dxa"/>
            <w:gridSpan w:val="3"/>
            <w:vMerge/>
            <w:vAlign w:val="center"/>
          </w:tcPr>
          <w:p w:rsidR="0061075C" w:rsidRDefault="0061075C">
            <w:pPr>
              <w:pBdr>
                <w:top w:val="nil"/>
                <w:left w:val="nil"/>
                <w:bottom w:val="nil"/>
                <w:right w:val="nil"/>
                <w:between w:val="nil"/>
              </w:pBdr>
              <w:spacing w:line="276" w:lineRule="auto"/>
              <w:ind w:left="0" w:hanging="2"/>
              <w:rPr>
                <w:rFonts w:ascii="標楷體" w:eastAsia="標楷體" w:hAnsi="標楷體" w:cs="標楷體"/>
                <w:color w:val="000000"/>
                <w:sz w:val="20"/>
                <w:szCs w:val="20"/>
              </w:rPr>
            </w:pPr>
          </w:p>
        </w:tc>
        <w:tc>
          <w:tcPr>
            <w:tcW w:w="1125" w:type="dxa"/>
            <w:gridSpan w:val="2"/>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學習內容</w:t>
            </w:r>
          </w:p>
        </w:tc>
        <w:tc>
          <w:tcPr>
            <w:tcW w:w="6243" w:type="dxa"/>
            <w:gridSpan w:val="7"/>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INa-Ⅱ-2在地球上，物質具有重量，佔有體積。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INa-Ⅱ-3物質各有其特性，並可以依其特性與用途進行分類。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INa-Ⅱ-7生物需要能量（養分）、陽光、空氣、水和土壤，維持生命、生長與活動。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INb-Ⅱ-1物質或物體各有不同的功能或用途。</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INb-Ⅱ-2物質性質上的差異性可用來區分或分離物質。</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INb-Ⅱ-4生物的構造與功能是互相配合的。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INb-Ⅱ-5常見動物的外部形態主要分為頭、軀幹和肢，但不同類別動物之各部位特徵和名稱有差異。</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INb-Ⅱ-6常見植物的外部形態主要由根、莖、葉、花、果實及種子所組成。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INb-II-7動植物體的外部形態和內部構造，與其生長、行為、繁衍後代和適應環境有關。</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INc-Ⅱ-1使用工具或自訂參考標準可量度與比較。</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INc-Ⅱ-2生活中常見的測量單位與度量。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INc-Ⅱ-5水和空氣可以傳送動力讓物體移動。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INc-Ⅱ-8不同的環境有不同的生物生存。</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INd-Ⅱ-4空氣流動產生風。</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INd-Ⅱ-8力有各種不同的形式。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INe-Ⅱ-1自然界的物體、生物、環境間常會相互影響。</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INe-Ⅱ-7磁鐵具有兩極，同極相斥，異極相吸；磁鐵會吸引含鐵的物體。磁力強弱可由吸起含鐵物質數量多寡得知。</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INe-II-10動物的感覺器官接受外界刺激會引起生理和行為反應。</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INf-Ⅱ-1日常生活中常見的科技產品。</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INf-Ⅱ-3自然的規律與變化對人類生活應用與美感的啟發。</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INg-Ⅱ-1自然環境中有許多資源。人類生存與生活需依賴自然環境中的各種資源，但自然資源都是有限的，需要珍惜使用。</w:t>
            </w:r>
          </w:p>
        </w:tc>
      </w:tr>
      <w:tr w:rsidR="0061075C">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融入之議題</w:t>
            </w:r>
          </w:p>
        </w:tc>
        <w:tc>
          <w:tcPr>
            <w:tcW w:w="7368" w:type="dxa"/>
            <w:gridSpan w:val="9"/>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人E3了解每個人需求的不同，並討論與遵守團體的規則。</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人E5欣賞、包容個別差異並尊重自己與他人的權利。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【戶外教育】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戶E1善用教室外、戶外及校外教學，認識生活環境（自然或人為）。</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戶E3善用五官的感知，培養眼、耳、鼻、舌、觸覺及心靈對環境感受的能力。</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【性別平等教育】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性E6了解圖像、語言與文字的性別意涵，使用性別平等的語言與文字進行溝通。</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性E11培養性別間合宜表達情感的能力。</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【海洋教育】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海E11認識海洋生物與生態。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海E13認識生活中常見的水產品。</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【環境教育】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環E1參與戶外學習與自然體驗，覺知自然環境的美、平衡、與完整性。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環E1參與戶外學習與自然體驗，覺知自然環境的美、平衡與完整性。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環E2覺知生物生命的美與價值，關懷動、植物的生命。</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環E3了解人與自然和諧共生，進而保護重要棲地。</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環E5覺知人類的生活型態對其他生物與生態系的衝擊。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環E6覺知人類過度的物質需求會對未來世代造成衝擊。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環E16了解物質循環與資源回收利用的原理。</w:t>
            </w:r>
          </w:p>
        </w:tc>
      </w:tr>
      <w:tr w:rsidR="0061075C">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學習目標</w:t>
            </w:r>
          </w:p>
        </w:tc>
        <w:tc>
          <w:tcPr>
            <w:tcW w:w="7368" w:type="dxa"/>
            <w:gridSpan w:val="9"/>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1.能察覺植物有根、莖、葉、花、果實和種子等部位，其各有不同的形態與特徵，並能指出植物的不同部位的名稱。</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2.能知道人類生存與生活需依賴自然環境中的植物資源，進而能尊重生命、關懷生活周遭環境與自然生態。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3.能觀察大自然的規律與變化，並向大自然學習將植物融入人類生活應用與美感創作。</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4.透過討論，了解人類維持生命需要陽光、食物、空氣和水。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5.經由觀察，了解食物和水等物質占有空間，透過操作證明空氣占有空間；透過操作及感受，了解食物、空氣和水等物質具有重量。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6.透過操作及觀察，了解空氣和水沒有固定的形狀，可以充滿在各種容器中。</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7.經由觀察與討論，了解空氣和水都可以傳送動力，並將生活經驗和同學分享。</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8.能透過觀察知道空氣流動會形成風，認識空氣的特性及其如何被應用於生活中，可以利用空氣的特性設計和製作創意玩具。</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9.能察覺並指出動物的身體的不同部位及其名稱；指出不同的動物有不同的身體部位及提出不同環境的動物有不同的外形特徵。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11.能知道動物的外形與運動方式，及其和生活習性之相關；指出不同動物身體構造和運動方式的關係。</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12.能討論尊重生命的具體做法，並愛護動物並向大自然學習。</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13.能知道磁鐵吸引鐵製品的特性；了解磁鐵不直接接觸鐵製品，也能吸引鐵製品。</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14.能知道磁鐵磁力最強的地方是在兩端的磁極上；磁鐵磁極有同極性互相排斥、異極性互相吸引的特性；利用現有的磁鐵及知識，來判斷未知名的磁極；了解磁鐵兩旁加上鐵片，可以增加磁鐵的吸力。</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15.能應用單元中所學到的磁鐵特性，設計並製作出創意玩具。</w:t>
            </w:r>
          </w:p>
        </w:tc>
      </w:tr>
      <w:tr w:rsidR="0061075C">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FF0000"/>
                <w:sz w:val="22"/>
              </w:rPr>
            </w:pPr>
            <w:r>
              <w:rPr>
                <w:rFonts w:ascii="標楷體" w:eastAsia="標楷體" w:hAnsi="標楷體" w:cs="標楷體"/>
                <w:color w:val="000000"/>
                <w:sz w:val="22"/>
              </w:rPr>
              <w:lastRenderedPageBreak/>
              <w:t>教學與評量說明</w:t>
            </w:r>
          </w:p>
        </w:tc>
        <w:tc>
          <w:tcPr>
            <w:tcW w:w="7368" w:type="dxa"/>
            <w:gridSpan w:val="9"/>
            <w:vAlign w:val="center"/>
          </w:tcPr>
          <w:p w:rsidR="0061075C" w:rsidRDefault="00C156DC">
            <w:pPr>
              <w:pBdr>
                <w:top w:val="nil"/>
                <w:left w:val="nil"/>
                <w:bottom w:val="nil"/>
                <w:right w:val="nil"/>
                <w:between w:val="nil"/>
              </w:pBdr>
              <w:spacing w:before="48"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一、教材與相關資源(教材書版本、相關資源)</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南一版自然科學、南一版電子書</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二、教學方法或策略</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1.教學要領或方法是大原則的提領導向；基本策略的熟練融會，是學習導引的重要手段，茲列如下：觀察、發表、操作、體驗、示範演練、調查、欣賞、反省、思考、讚美肯定、討論、綜合方法、運用資訊。</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2.透過各種教學內容與探究活動，如科學閱讀、這也是科學、科學探究等設計，讓教師能彈性應用。</w:t>
            </w:r>
          </w:p>
          <w:p w:rsidR="0061075C" w:rsidRDefault="0061075C">
            <w:pPr>
              <w:pBdr>
                <w:top w:val="nil"/>
                <w:left w:val="nil"/>
                <w:bottom w:val="nil"/>
                <w:right w:val="nil"/>
                <w:between w:val="nil"/>
              </w:pBdr>
              <w:spacing w:line="240" w:lineRule="auto"/>
              <w:ind w:left="0" w:hanging="2"/>
              <w:jc w:val="both"/>
              <w:rPr>
                <w:rFonts w:ascii="標楷體" w:eastAsia="標楷體" w:hAnsi="標楷體" w:cs="標楷體"/>
                <w:color w:val="000000"/>
                <w:sz w:val="22"/>
              </w:rPr>
            </w:pP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三、教學評量</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觀察評量、發表評量、操作評量、口語評量、態度評量</w:t>
            </w:r>
          </w:p>
        </w:tc>
      </w:tr>
      <w:tr w:rsidR="0061075C">
        <w:trPr>
          <w:trHeight w:val="397"/>
        </w:trPr>
        <w:tc>
          <w:tcPr>
            <w:tcW w:w="1393" w:type="dxa"/>
            <w:gridSpan w:val="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教科書版本</w:t>
            </w:r>
          </w:p>
        </w:tc>
        <w:tc>
          <w:tcPr>
            <w:tcW w:w="1394" w:type="dxa"/>
            <w:gridSpan w:val="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南一版</w:t>
            </w:r>
          </w:p>
        </w:tc>
        <w:tc>
          <w:tcPr>
            <w:tcW w:w="2090"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每週教學節數</w:t>
            </w:r>
          </w:p>
        </w:tc>
        <w:tc>
          <w:tcPr>
            <w:tcW w:w="1610" w:type="dxa"/>
            <w:gridSpan w:val="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3</w:t>
            </w:r>
          </w:p>
        </w:tc>
        <w:tc>
          <w:tcPr>
            <w:tcW w:w="1874" w:type="dxa"/>
            <w:gridSpan w:val="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學期總教學節數</w:t>
            </w:r>
          </w:p>
        </w:tc>
        <w:tc>
          <w:tcPr>
            <w:tcW w:w="1394" w:type="dxa"/>
            <w:vAlign w:val="center"/>
          </w:tcPr>
          <w:p w:rsidR="0061075C" w:rsidRDefault="0061075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p>
        </w:tc>
      </w:tr>
      <w:tr w:rsidR="0061075C">
        <w:trPr>
          <w:trHeight w:val="397"/>
        </w:trPr>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週次</w:t>
            </w:r>
          </w:p>
        </w:tc>
        <w:tc>
          <w:tcPr>
            <w:tcW w:w="4202" w:type="dxa"/>
            <w:gridSpan w:val="6"/>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單元名稱</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週次</w:t>
            </w:r>
          </w:p>
        </w:tc>
        <w:tc>
          <w:tcPr>
            <w:tcW w:w="3977" w:type="dxa"/>
            <w:gridSpan w:val="4"/>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單元名稱</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一</w:t>
            </w:r>
          </w:p>
        </w:tc>
        <w:tc>
          <w:tcPr>
            <w:tcW w:w="4202" w:type="dxa"/>
            <w:gridSpan w:val="6"/>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開學準備週</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十二</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1.動物的身體</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二</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1.植物與環境</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十三</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1.動物的身體</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三</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1.植物與環境</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十四</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2.動物的運動</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四</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2.植物的身體</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十五</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2.動物的運動</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五</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2.植物的身體</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十六</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3.動物與生活</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六</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2.植物的身體</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十七</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1.磁力的探討</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七</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3.植物與生活</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十八</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1.磁力的探討</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八</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二、空氣和水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1.生活中的空氣和水</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十九</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2.磁鐵的特性</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九</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二、空氣和水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2.空氣和水的特性</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二十</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3.磁鐵與生活</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二、空氣和水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2.空氣和水的特性</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二十一</w:t>
            </w:r>
          </w:p>
        </w:tc>
        <w:tc>
          <w:tcPr>
            <w:tcW w:w="3977" w:type="dxa"/>
            <w:gridSpan w:val="4"/>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3.磁鐵與生活</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十一</w:t>
            </w:r>
          </w:p>
        </w:tc>
        <w:tc>
          <w:tcPr>
            <w:tcW w:w="4202" w:type="dxa"/>
            <w:gridSpan w:val="6"/>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二、空氣和水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3.流動的空氣</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lastRenderedPageBreak/>
              <w:t>二十二</w:t>
            </w:r>
          </w:p>
        </w:tc>
        <w:tc>
          <w:tcPr>
            <w:tcW w:w="3977" w:type="dxa"/>
            <w:gridSpan w:val="4"/>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0"/>
                <w:szCs w:val="20"/>
              </w:rPr>
              <w:lastRenderedPageBreak/>
              <w:t>3.磁鐵與生活</w:t>
            </w:r>
          </w:p>
        </w:tc>
      </w:tr>
    </w:tbl>
    <w:tbl>
      <w:tblPr>
        <w:tblStyle w:val="ab"/>
        <w:tblW w:w="98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
        <w:gridCol w:w="1206"/>
        <w:gridCol w:w="1353"/>
        <w:gridCol w:w="1556"/>
        <w:gridCol w:w="1280"/>
        <w:gridCol w:w="1219"/>
        <w:gridCol w:w="2014"/>
        <w:gridCol w:w="697"/>
      </w:tblGrid>
      <w:tr w:rsidR="0061075C">
        <w:trPr>
          <w:jc w:val="center"/>
        </w:trPr>
        <w:tc>
          <w:tcPr>
            <w:tcW w:w="53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lastRenderedPageBreak/>
              <w:br w:type="page"/>
            </w:r>
            <w:r>
              <w:rPr>
                <w:rFonts w:ascii="標楷體" w:eastAsia="標楷體" w:hAnsi="標楷體" w:cs="標楷體"/>
                <w:b/>
                <w:color w:val="000000"/>
                <w:sz w:val="22"/>
              </w:rPr>
              <w:t>週次</w:t>
            </w:r>
          </w:p>
        </w:tc>
        <w:tc>
          <w:tcPr>
            <w:tcW w:w="120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起訖日期</w:t>
            </w:r>
          </w:p>
        </w:tc>
        <w:tc>
          <w:tcPr>
            <w:tcW w:w="1353"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單元名稱</w:t>
            </w:r>
          </w:p>
        </w:tc>
        <w:tc>
          <w:tcPr>
            <w:tcW w:w="155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學習表現</w:t>
            </w:r>
          </w:p>
        </w:tc>
        <w:tc>
          <w:tcPr>
            <w:tcW w:w="1280"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學習內容</w:t>
            </w:r>
          </w:p>
        </w:tc>
        <w:tc>
          <w:tcPr>
            <w:tcW w:w="1219"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學習目標</w:t>
            </w:r>
          </w:p>
        </w:tc>
        <w:tc>
          <w:tcPr>
            <w:tcW w:w="2014"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教學重點</w:t>
            </w:r>
          </w:p>
        </w:tc>
        <w:tc>
          <w:tcPr>
            <w:tcW w:w="697"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評量方式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w:t>
            </w:r>
          </w:p>
        </w:tc>
        <w:tc>
          <w:tcPr>
            <w:tcW w:w="1206" w:type="dxa"/>
            <w:vAlign w:val="center"/>
          </w:tcPr>
          <w:p w:rsidR="00385744" w:rsidRDefault="00385744" w:rsidP="00385744">
            <w:pPr>
              <w:pStyle w:val="Web"/>
              <w:spacing w:before="0" w:beforeAutospacing="0" w:after="0" w:afterAutospacing="0"/>
              <w:ind w:right="57" w:hanging="2"/>
              <w:jc w:val="center"/>
            </w:pPr>
            <w:r>
              <w:rPr>
                <w:rFonts w:ascii="標楷體" w:eastAsia="標楷體" w:hAnsi="標楷體" w:hint="eastAsia"/>
                <w:color w:val="000000"/>
                <w:sz w:val="18"/>
                <w:szCs w:val="18"/>
              </w:rPr>
              <w:t>08/30~09/02</w:t>
            </w:r>
          </w:p>
        </w:tc>
        <w:tc>
          <w:tcPr>
            <w:tcW w:w="8119" w:type="dxa"/>
            <w:gridSpan w:val="6"/>
            <w:vAlign w:val="center"/>
          </w:tcPr>
          <w:p w:rsidR="00385744" w:rsidRDefault="00385744" w:rsidP="00385744">
            <w:pPr>
              <w:pBdr>
                <w:top w:val="nil"/>
                <w:left w:val="nil"/>
                <w:bottom w:val="nil"/>
                <w:right w:val="nil"/>
                <w:between w:val="nil"/>
              </w:pBdr>
              <w:spacing w:line="240" w:lineRule="auto"/>
              <w:ind w:left="0" w:hanging="2"/>
              <w:jc w:val="center"/>
              <w:rPr>
                <w:rFonts w:ascii="PMingLiu" w:eastAsia="PMingLiu" w:hAnsi="PMingLiu" w:cs="PMingLiu"/>
                <w:color w:val="000000"/>
                <w:sz w:val="20"/>
                <w:szCs w:val="20"/>
              </w:rPr>
            </w:pPr>
            <w:r>
              <w:rPr>
                <w:rFonts w:ascii="微軟正黑體" w:eastAsia="微軟正黑體" w:hAnsi="微軟正黑體" w:cs="微軟正黑體" w:hint="eastAsia"/>
                <w:color w:val="000000"/>
                <w:sz w:val="20"/>
                <w:szCs w:val="20"/>
              </w:rPr>
              <w:t>開學準備週</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2</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09/05~09/09</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1.植物與環境</w:t>
            </w:r>
          </w:p>
        </w:tc>
        <w:tc>
          <w:tcPr>
            <w:tcW w:w="1556" w:type="dxa"/>
          </w:tcPr>
          <w:p w:rsidR="00385744" w:rsidRDefault="00385744" w:rsidP="00385744">
            <w:pPr>
              <w:pBdr>
                <w:top w:val="nil"/>
                <w:left w:val="nil"/>
                <w:bottom w:val="nil"/>
                <w:right w:val="nil"/>
                <w:between w:val="nil"/>
              </w:pBdr>
              <w:tabs>
                <w:tab w:val="left" w:pos="0"/>
              </w:tabs>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INa-Ⅱ-1自然界（包含生物與非生物）是由不同物質所組成。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INa-Ⅱ-7生物需要能量（養分）、陽光、空氣、水和土壤，維持生命、生長與活動。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INb-Ⅱ-7動植物體的外部形態和內部構造，與其生長、行為、繁衍後代和適應環境有關。</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1.植物的生長需要有陽光、土壤、水。</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2.植物有多種的生長樣貌和適應環境有密切關係。</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1.能察覺植物的根、莖、葉、花、果實和種子等部位，各有不同的形態與特徵。</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2.能知道人類生存與生活需依賴自然環境中的植物資源，進而能尊重生命、關懷生活周遭環境與自然生態。</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3</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09/12~09/16</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1.植物與環境</w:t>
            </w:r>
          </w:p>
        </w:tc>
        <w:tc>
          <w:tcPr>
            <w:tcW w:w="1556" w:type="dxa"/>
          </w:tcPr>
          <w:p w:rsidR="00385744" w:rsidRDefault="00385744" w:rsidP="00385744">
            <w:pPr>
              <w:pBdr>
                <w:top w:val="nil"/>
                <w:left w:val="nil"/>
                <w:bottom w:val="nil"/>
                <w:right w:val="nil"/>
                <w:between w:val="nil"/>
              </w:pBdr>
              <w:tabs>
                <w:tab w:val="left" w:pos="0"/>
              </w:tabs>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INa-Ⅱ-1自然界（包含生物與非生物）是由不同物質所組成。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INa-Ⅱ-7生物需要能量（養分）、陽光、空氣、水和土壤，維持生命、生長與活動。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INb-Ⅱ-7動植物體的外部形態和內部構造，與其生長、行為、繁衍後代和適應環境有關。</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1.植物的生長需要有陽光、土壤、水。</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2.植物有多種的生長樣貌和適應環境有密切關係。</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1.能察覺植物的部位，有不同的形態與特徵。</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2.能知道人類生存與生活需依賴自然環境中的植物資源，進而能尊重生命、關懷生活周遭環境與自然生態。</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4</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09/19~09/23</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2.植物的身體</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ti-Ⅱ-1能在指導下觀察日常生活現象的規律性，並運用想像力與好奇心，了解及</w:t>
            </w:r>
            <w:r>
              <w:rPr>
                <w:rFonts w:ascii="標楷體" w:eastAsia="標楷體" w:hAnsi="標楷體" w:cs="標楷體"/>
                <w:color w:val="000000"/>
                <w:sz w:val="20"/>
                <w:szCs w:val="20"/>
              </w:rPr>
              <w:lastRenderedPageBreak/>
              <w:t>描述自然環境的現象。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tm-Ⅱ-1能經由觀察自然界現象之間的關係，理解簡單的概念模型，進而與其生活經驗連結。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ah-Ⅱ-1透過各種感官了解生活周遭事物的屬性。</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INb-Ⅱ-4生物體的構造與功能是互相配合的。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INb-Ⅱ-6常見植物的外</w:t>
            </w:r>
            <w:r>
              <w:rPr>
                <w:rFonts w:ascii="標楷體" w:eastAsia="標楷體" w:hAnsi="標楷體" w:cs="標楷體"/>
                <w:color w:val="000000"/>
                <w:sz w:val="20"/>
                <w:szCs w:val="20"/>
              </w:rPr>
              <w:lastRenderedPageBreak/>
              <w:t>部形態主要由根、莖、葉、花、果實及種子所組成。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INb-II-7動植物體的外部形態和內部構造，與其生長、行為、繁衍後代和適應環境有關。</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1.認識植物的身體可以分成根、莖、葉、花、果實和種子等部</w:t>
            </w:r>
            <w:r>
              <w:rPr>
                <w:rFonts w:ascii="標楷體" w:eastAsia="標楷體" w:hAnsi="標楷體" w:cs="標楷體"/>
                <w:color w:val="000000"/>
                <w:sz w:val="20"/>
                <w:szCs w:val="20"/>
              </w:rPr>
              <w:lastRenderedPageBreak/>
              <w:t>位。</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2.能察覺植物的葉有不同的形態特徵，例如：顏色、大小、葉形葉緣、葉脈等。</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3.能透過觀察植物發現莖上有節，而節上會長出葉子。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4.觀察葉子在莖上有不同的生長方式稱為葉序，常見的有互生、對生和輪生。</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5.能透過觀察並分享喜歡的葉子，在觀察紀錄表上記錄下來。</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1.察覺植物的身體有葉子部位。</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2.能指出葉子的名稱。</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3.能察覺植物的葉部位，有不同的形態</w:t>
            </w:r>
            <w:r>
              <w:rPr>
                <w:rFonts w:ascii="標楷體" w:eastAsia="標楷體" w:hAnsi="標楷體" w:cs="標楷體"/>
                <w:color w:val="000000"/>
                <w:sz w:val="20"/>
                <w:szCs w:val="20"/>
              </w:rPr>
              <w:lastRenderedPageBreak/>
              <w:t>與特徵。</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4.能知道人類生存與生活需依賴自然環境中的植物資源，進而能尊重生命、關懷生活周遭環境與自然生態。</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lastRenderedPageBreak/>
              <w:t>5</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09/26~09/30</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2.植物的身體</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ti-Ⅱ-1能在指導下觀察日常生活現象的規律性，並運用想像力與好奇心，了解及描述自然環境的現象。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tm-Ⅱ-1能經由觀察自然界現象之間的關係，理解簡單的概念模型，進而與其生活經驗連結。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ah-Ⅱ-1透過各種感官了解生活周遭事物的屬性。</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INb-Ⅱ-4生物體的構造與功能是互相配合的。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INb-Ⅱ-6常見植物的外部形態主要由根、莖、葉、花、果實及種子所組成。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INb-II-7動植物體的外部形態和內部構造，與其生長、行為、繁衍後代和適應環境有關。</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1.能利用五官觀察或工具協助觀察植物莖的外形特徵。</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2.能察覺植物的莖有不同的形態特徵，可分為木本莖、草本莖、藤本莖。</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3.能察覺植物的根有不同的形態特徵，可分為軸根、鬚根。</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1.察覺植物的身體有莖、根等部位。</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2.能指出莖、根的名稱。</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3.能察覺植物的莖、根部位，有不同的形態與特徵。</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4.能知道人類生存與生活需依賴自然環境中的植物資源，進而能尊重生命、關懷生活周遭環境與自然生態。</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6</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10/03~10/07</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2.植物的身</w:t>
            </w:r>
            <w:r>
              <w:rPr>
                <w:rFonts w:ascii="標楷體" w:eastAsia="標楷體" w:hAnsi="標楷體" w:cs="標楷體"/>
                <w:color w:val="000000"/>
                <w:sz w:val="20"/>
                <w:szCs w:val="20"/>
              </w:rPr>
              <w:lastRenderedPageBreak/>
              <w:t>體</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ti-Ⅱ-1能在指導下觀察日常生活現象的</w:t>
            </w:r>
            <w:r>
              <w:rPr>
                <w:rFonts w:ascii="標楷體" w:eastAsia="標楷體" w:hAnsi="標楷體" w:cs="標楷體"/>
                <w:color w:val="000000"/>
                <w:sz w:val="20"/>
                <w:szCs w:val="20"/>
              </w:rPr>
              <w:lastRenderedPageBreak/>
              <w:t>規律性，並運用想像力與好奇心，了解及描述自然環境的現象。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tm-Ⅱ-1能經由觀察自然界現象之間的關係，理解簡單的概念模型，進而與其生活經驗連結。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ah-Ⅱ-1透過各種感官了解生活周遭事物的屬性。</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INb-Ⅱ-4生物體的構造與功能是互</w:t>
            </w:r>
            <w:r>
              <w:rPr>
                <w:rFonts w:ascii="標楷體" w:eastAsia="標楷體" w:hAnsi="標楷體" w:cs="標楷體"/>
                <w:color w:val="000000"/>
                <w:sz w:val="20"/>
                <w:szCs w:val="20"/>
              </w:rPr>
              <w:lastRenderedPageBreak/>
              <w:t>相配合的。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INb-Ⅱ-6常見植物的外部形態主要由根、莖、葉、花、果實及種子所組成。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INb-II-7動植物體的外部形態和內部構造，與其生長、行為、繁衍後代和適應環境有關。</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1.能察覺植物的花有不同的形態特</w:t>
            </w:r>
            <w:r>
              <w:rPr>
                <w:rFonts w:ascii="標楷體" w:eastAsia="標楷體" w:hAnsi="標楷體" w:cs="標楷體"/>
                <w:color w:val="000000"/>
                <w:sz w:val="20"/>
                <w:szCs w:val="20"/>
              </w:rPr>
              <w:lastRenderedPageBreak/>
              <w:t>徵，例如：顏色、形狀和氣味。</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2.能認識花的構造包含花萼、花瓣、雄蕊、雌蕊。</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3.能察覺植物開花後，結成果實的過程。</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4.能察覺果實及種子有不同的形態特徵，例如：外形、顏色和數量。</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1.察覺植物的身體有花、果實和種子等部位。</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2.能指出花、果實和種子的名稱。</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3.能察覺植物的花、果實和種子部位，有不同的形態與特徵。</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4.能知道人類生存與生活需依賴自然環境中的植物資源，進而能尊重生命、關懷生活周遭環境與自然生態。</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w:t>
            </w:r>
            <w:r>
              <w:rPr>
                <w:rFonts w:ascii="標楷體" w:eastAsia="標楷體" w:hAnsi="標楷體" w:cs="標楷體"/>
                <w:color w:val="000000"/>
                <w:sz w:val="20"/>
                <w:szCs w:val="20"/>
              </w:rPr>
              <w:lastRenderedPageBreak/>
              <w:t>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lastRenderedPageBreak/>
              <w:t>7</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10/10~10/14</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一、認識植物</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3.植物與生活</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INf-Ⅱ-3自然的規律與變化對人類生活應用與美感的啟發。</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INg-Ⅱ-1自然環境中有許多資源。人類生存與生活需依賴自然環境中的各種資源，但自然資源都是有限的，需要珍惜使用。</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1.透過觀察並學習欣賞大自然中植物的各種樣貌。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2.能透過觀察植物的四季不同變化感受到大自然的美。</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3.了解人類會運用植物在各種不同的生活用途。</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4.了解植物對自然環境和其他生物的相互關係。</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1.能知道人類生存與生活需依賴自然環境中的植物資源，進而能尊重生命、關懷生活周遭環境與自然生態。</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2.能觀察大自然的規律與變化，並向大自然學習將植物融入人類生活應用與美感創作。</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8</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10/17~10/21</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二、空氣和水</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1.生活中的空氣和水</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po-Ⅱ-1能從日常經驗、學習活動、自然環境，進行觀察，進而能察覺問題。</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INa-Ⅱ-7生物需要能量(養分）、陽光、空氣、水和土壤，維持生命、生長與活動。</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1.透過討論，了解人類維持生命需要陽光、食物、空氣和水。</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2.透過操作與觀察，了解空氣通常存在有空隙的地方。</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1.透過討論，了解人類維持生命需要陽光、食物、空氣和水。</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2.經由觀察，了解食物和水等物質占有空間，透過操作證明空氣占有空間。</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9</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10/24~10/28</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二、空氣和水</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2.空氣和水的特性</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pe-Ⅱ-2能正確安全操作適</w:t>
            </w:r>
            <w:r>
              <w:rPr>
                <w:rFonts w:ascii="標楷體" w:eastAsia="標楷體" w:hAnsi="標楷體" w:cs="標楷體"/>
                <w:color w:val="000000"/>
                <w:sz w:val="20"/>
                <w:szCs w:val="20"/>
              </w:rPr>
              <w:lastRenderedPageBreak/>
              <w:t>合學習階段的物品、器材儀器、科技設備及資源，並能觀測和記錄。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INa-Ⅱ-2在地球上，物</w:t>
            </w:r>
            <w:r>
              <w:rPr>
                <w:rFonts w:ascii="標楷體" w:eastAsia="標楷體" w:hAnsi="標楷體" w:cs="標楷體"/>
                <w:color w:val="000000"/>
                <w:sz w:val="20"/>
                <w:szCs w:val="20"/>
              </w:rPr>
              <w:lastRenderedPageBreak/>
              <w:t>質具有重量，佔有體積。</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INc-Ⅱ-5水和空氣可以傳送動力讓物體移動。</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1.經由觀察，了解食</w:t>
            </w:r>
            <w:r>
              <w:rPr>
                <w:rFonts w:ascii="標楷體" w:eastAsia="標楷體" w:hAnsi="標楷體" w:cs="標楷體"/>
                <w:color w:val="000000"/>
                <w:sz w:val="20"/>
                <w:szCs w:val="20"/>
              </w:rPr>
              <w:lastRenderedPageBreak/>
              <w:t>物和水等物質占有空間，透過操作證明空氣占有空間。</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2.透過操作及感受，了解食物、空氣和水等物質具有重量。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3.透過操作及觀察，了解空氣和水沒有固定的形狀，可以充滿在各種容器中。</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1.經由觀察，了解食物和水等物質占有</w:t>
            </w:r>
            <w:r>
              <w:rPr>
                <w:rFonts w:ascii="標楷體" w:eastAsia="標楷體" w:hAnsi="標楷體" w:cs="標楷體"/>
                <w:color w:val="000000"/>
                <w:sz w:val="20"/>
                <w:szCs w:val="20"/>
              </w:rPr>
              <w:lastRenderedPageBreak/>
              <w:t>空間，透過操作證明空氣占有空間。</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2.透過操作及感受，了解食物、空氣和水等物質具有重量。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3.透過操作及觀察，了解空氣和水沒有固定的形狀。</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lastRenderedPageBreak/>
              <w:t>10</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10/31~11/04</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二、空氣和水</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2.空氣和水的特性</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pe-Ⅱ-2能正確安全操作適合學習階段的物品、器材儀器、科技設備及資源，並能觀測和記錄。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INa-Ⅱ-2在地球上，物質具有重量，佔有體積。</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INc-Ⅱ-5水和空氣可以傳送動力讓物體移動。</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◆經由觀察與討論，了解空氣和水都可以傳送動力，並將生活經驗和同學分享。</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◆經由觀察與討論，了解空氣和水都可以傳送動力，並將生活經驗和同學分享。</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11</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11/07~11/11</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二、空氣和水</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3.流動的空氣</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ai-Ⅱ-3透過動手實作，享受以成品來表現自己構想的樂趣。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ah-Ⅱ-1透過各種感官了解生活周遭事物的屬性。</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INd-Ⅱ-4空氣流動產生風。</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1.透過觀察知道空氣流動會形成風，而讓物體轉動、飄動或被吹動。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2.了解空氣流動之其他生活中的例子及風對生活的影響。</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3.能夠利用空氣的特性設計並製作好玩的空氣創意玩具。</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4.能夠改進製作的方式或材料，讓空氣創意玩具的效果更好。</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1.透過觀察知道空氣流動會形成風。</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2.認識空氣的特性及其如何被應用於生活中。</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3.能利用空氣的特性設計和製作創意玩具。</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lastRenderedPageBreak/>
              <w:t>12</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11/14~11/18</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1.動物的身體</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po-Ⅱ-1能從日常經驗、學習活動、自然環境，進行觀察，進而能察覺問題。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ah-Ⅱ-1透過各種感官了解生活週遭事物的屬性。</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INa-Ⅱ-1自然界（包含生物與非生物）是由不同物質所組成。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INb-Ⅱ-4生物的構造與功能是互相配合的。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INb-Ⅱ-5常見動物的外部形態主要分為頭、軀幹和肢，但不同類別動物之各部位特徵和名稱有差異。</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INb-Ⅱ-7動植物的外部形態和內部構造與其生長、行為、繁衍後代和適應環境有關。</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INc-Ⅱ-8不同的環境有不同的生物生存。</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1.透過圖片的觀察，發現生活中不同環境中有各種動物，動物有不同的外形特徵。</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2.能提出不同環境的動物有不同的外形特徵。</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3.能辨識常見動物的身體外形部位。</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4.能比較不同動物有不同的特徵。</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1.認識動物的外形及不同的特徵。</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2.了解動物的身體可以分成不同的部位。</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13</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11/21~11/25</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1.動物的身體</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po-Ⅱ-1能從日常經驗、學習活動、自然環境，進行觀察，進而能察覺問題。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ah-Ⅱ-1透過各種感官了解生活週遭事物的屬性。</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INa-Ⅱ-1自然界（包含生物與非生物）是由不同物質所組成。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INb-Ⅱ-4生物的構造與功能是互相配合的。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INb-Ⅱ-5常見動物的外部形態主要分為頭、軀幹和肢，但不同類別動物之各部位特徵和名稱有差異。</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INb-Ⅱ-7動植物的外部形態和內部構造與其生長、行為、</w:t>
            </w:r>
            <w:r>
              <w:rPr>
                <w:rFonts w:ascii="標楷體" w:eastAsia="標楷體" w:hAnsi="標楷體" w:cs="標楷體"/>
                <w:color w:val="000000"/>
                <w:sz w:val="20"/>
                <w:szCs w:val="20"/>
              </w:rPr>
              <w:lastRenderedPageBreak/>
              <w:t>繁衍後代和適應環境有關。</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INc-Ⅱ-8不同的環境有不同的生物生存。</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1.能知道動物不同的外形特徵與環境之間的關係。</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2.藉由圖片，連結不同動物的腳，察覺動物的腳有不同的外形，運動方式也不一樣。</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 認識動物的外形及不同的特徵。</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2.知道動物的外形構造不同，運動的方式也不同。</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14</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11/29~12/3</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2.動物的運動</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po-Ⅱ-1能從日常經驗、學習活動、自然環境，進行觀察，進而能察覺問題。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ah-Ⅱ-1透過各種感官了解生活週遭事物的屬性。</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INa-Ⅱ-1自然界（包含生物與非生物）是由不同物質所組成。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INb-Ⅱ-4生物的構造與功能是互相配合的。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INb-Ⅱ-7動植物的外部形態和內部構造與其生長、行為、繁衍後代和適應環境有關。</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◆知道不同動物身體構造和運動方式的關係。</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◆知道動物的外形構造不同，運動的方式也不同。</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15</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12/05~12/09</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2.動物的運動</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po-Ⅱ-1能從日常經驗、學習活動、自然環境，進行觀察，進而能察覺問題。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ah-Ⅱ-1透過各種感官了解生活週遭事物的屬性。</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w:t>
            </w:r>
            <w:r>
              <w:rPr>
                <w:rFonts w:ascii="標楷體" w:eastAsia="標楷體" w:hAnsi="標楷體" w:cs="標楷體"/>
                <w:color w:val="000000"/>
                <w:sz w:val="20"/>
                <w:szCs w:val="20"/>
              </w:rPr>
              <w:lastRenderedPageBreak/>
              <w:t>與表達方式，與他人溝通自己的想法與發現。</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INa-Ⅱ-1自然界（包含生物與非生物）是由不同物質所組成。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INb-Ⅱ-4生物的構造與功能是互相配合的。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INb-Ⅱ-7動植物的外部形態和內部構造與其生長、行為、繁衍後代和適應環境有關。</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◆依據圖片中不同動物的外形特徵和運動方式來練習動物的分類。</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◆知道動物的外形構造不同，運動的方式也不同。</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16</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12/12~12/16</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三、認識動物</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3.動物與生活</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po-Ⅱ-1能從日常經驗、學習活動、自然環境，進行觀察，進而能察覺問題。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ah-Ⅱ-1透過各種感官了解生活週遭事物的屬性。</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INe-II-10動物的感覺器官接受外界刺激會引起生理和行為反應。</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INf-Ⅱ-1日常生活中常見的科技產品。</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INg-Ⅱ-1自然環境中有許多資源。人類生存與生活需依賴自然環境中的各種資源，但自然資源都是有限的，需要珍惜使用。</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1.能仔細觀察動物，察覺人類的許多發明和動物有關，並向大自然學習。</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2.能討論並了解尊重生命的具體做法。</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 培養愛護動物、尊重生命的情操。</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 能向動物學習，了解各項仿生科技。</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17</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12/19~12/23</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1.磁力的探討</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ti-Ⅱ-1能在指導下觀察日常生活現象的規律性，並運用想像力及好奇心，了解及描述自然環境的現象。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tc-Ⅱ-1能簡單分辨或分類所觀察到的自然科學現象。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ai-Ⅱ-2透過探討自然與物質世界的規律性，感受發現的樂趣。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an-Ⅱ-1體會科學的探索都是由問題開始。</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INa-Ⅱ-1自然界包含生物與非生物是由不同物質所組成。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INa-Ⅱ-3物質各有其特性，並可以依其特性與用途進行分類。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INb-Ⅱ-2物質性質上的差異性可用來區分或分離物質。</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INd-Ⅱ-8力有各種不同的形式。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INe-Ⅱ-7磁鐵具有兩極，同極相斥，異極相吸；磁鐵會吸引含鐵的</w:t>
            </w:r>
            <w:r>
              <w:rPr>
                <w:rFonts w:ascii="標楷體" w:eastAsia="標楷體" w:hAnsi="標楷體" w:cs="標楷體"/>
                <w:color w:val="000000"/>
                <w:sz w:val="20"/>
                <w:szCs w:val="20"/>
              </w:rPr>
              <w:lastRenderedPageBreak/>
              <w:t>物體。磁力強弱可由吸起含鐵物質數量多寡得知。</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1.能知道磁鐵吸引鐵製品的特性。</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2.能了解磁鐵不直接接觸鐵製品，也能吸引鐵製品。</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1.知道磁鐵吸引鐵製品的特性。</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2.了解磁鐵不直接接觸鐵製品，也能吸引鐵製品。</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18</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12/26~12/30</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1.磁力的探討</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ti-Ⅱ-1能在指導下觀察日常生活現象的規律性，並運用想像力及好奇心，了解及描述自然環境的現象。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tc-Ⅱ-1能簡單分辨或分類所觀察到的自然科學現象。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ai-Ⅱ-2透過探討自然與物質世界的規律性，感受發現的樂趣。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an-Ⅱ-1體會科學的探索都是由問題開始。</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INa-Ⅱ-1自然界包含生物與非生物是由不同物質所組成。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INa-Ⅱ-3物質各有其特性，並可以依其特性與用途進行分類。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INb-Ⅱ-2物質性質上的差異性可用來區分或分離物質。</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INd-Ⅱ-8力有各種不同的形式。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INe-Ⅱ-7磁鐵具有兩極，同極相斥，異極相吸；磁鐵會吸引含鐵的物體。磁力強弱可由吸起含鐵物質數量多寡得知。</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◆能學習內容 知道磁鐵磁力最強的地方是在兩端的磁極上。</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◆探討磁力的強弱，知道磁鐵磁力最強的地方是在兩端的磁極。</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19</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01/02~01/06</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2.磁鐵的特性</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po-Ⅱ-1能從日常經驗、學習活動、自然環境，進而觀察，進而能察覺問題。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pe-Ⅱ-2能正確安全操作適合學習階段的物品、器材儀器、科技設備及資源，並能觀察和記錄。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pa-Ⅱ-2能從得到的資訊或數據，形成解釋、得到解答、解決問題。並能將自己的探究結果</w:t>
            </w:r>
            <w:r>
              <w:rPr>
                <w:rFonts w:ascii="標楷體" w:eastAsia="標楷體" w:hAnsi="標楷體" w:cs="標楷體"/>
                <w:color w:val="000000"/>
                <w:sz w:val="20"/>
                <w:szCs w:val="20"/>
              </w:rPr>
              <w:lastRenderedPageBreak/>
              <w:t>和他人的結果（例如：來自老師）相比較，檢查是否相近。</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pc-Ⅱ-2能利用簡單形式的口語、文字或圖畫等，表達探究之過程、發現。</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INa-Ⅱ-3物質各有其特性，並可以依其特性與用途進行分類。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INc-Ⅱ-1使用工具或自訂參考標準可量度與比較。</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INc-Ⅱ-2生活中常見的測量單位與度量。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INe-Ⅱ-7磁鐵具有兩極，同極相斥，異極相吸；磁鐵會</w:t>
            </w:r>
            <w:r>
              <w:rPr>
                <w:rFonts w:ascii="標楷體" w:eastAsia="標楷體" w:hAnsi="標楷體" w:cs="標楷體"/>
                <w:color w:val="000000"/>
                <w:sz w:val="20"/>
                <w:szCs w:val="20"/>
              </w:rPr>
              <w:lastRenderedPageBreak/>
              <w:t>吸引含鐵的物體。磁力強弱可由吸起含鐵物質數量多寡得知。</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1.磁鐵磁極有同極性互相排斥、異極性互相吸引的特性。</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2.能利用現有的磁鐵及知識，來判斷未標出磁極的磁鐵磁極。</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1探討磁鐵的特性，知道磁鐵磁極有同極性互相排斥、異極性互相吸引的特性。</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5.探討磁鐵的特性，利用現有的磁鐵及知識，來判斷未標出磁極的磁鐵磁極。</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20</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01/09~01/13</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3.磁鐵與生活</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pe-Ⅱ-1能了解一個因素改變可能造成的影響，進而預測活動的大致結果。在教師或教科書的指導或說明下，能了解探究的計畫。</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an-Ⅱ-2察覺科學家們是利用不同的方式探索自然與物質世界的形式與規律。</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INb-Ⅱ-1物質或物體各有不同的功能或用途。</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INe-Ⅱ-1自然界的物體、生物、環境間常會相互影響。</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1.能了解磁鐵在生活中的應用。</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2.能了解磁鐵兩邊加上鐵片，可以增加磁鐵所能吸住的重量。</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◆了解磁鐵兩邊加上鐵片，可以增加磁鐵所能吸住的重量。</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r w:rsidR="00385744">
        <w:trPr>
          <w:jc w:val="center"/>
        </w:trPr>
        <w:tc>
          <w:tcPr>
            <w:tcW w:w="533"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21</w:t>
            </w:r>
          </w:p>
        </w:tc>
        <w:tc>
          <w:tcPr>
            <w:tcW w:w="120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01/16~01/20</w:t>
            </w:r>
          </w:p>
        </w:tc>
        <w:tc>
          <w:tcPr>
            <w:tcW w:w="1353" w:type="dxa"/>
            <w:vAlign w:val="center"/>
          </w:tcPr>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四、磁鐵</w:t>
            </w:r>
          </w:p>
          <w:p w:rsidR="00385744" w:rsidRDefault="00385744" w:rsidP="0038574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3.磁鐵與生活</w:t>
            </w:r>
          </w:p>
        </w:tc>
        <w:tc>
          <w:tcPr>
            <w:tcW w:w="155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pe-Ⅱ-1能了解一個因素改變可能造成的影響，進而預測活動的大致結果。在教師或教科書的指導或說明下，能了解探究的計畫。</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an-Ⅱ-2察覺科學家們是利用不同的方式探索自然與物質世界的形式與規律。</w:t>
            </w:r>
          </w:p>
        </w:tc>
        <w:tc>
          <w:tcPr>
            <w:tcW w:w="1280"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INb-Ⅱ-1物質或物體各有不同的功能或用途。</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INe-Ⅱ-1自然界的物體、生物、環境間常會相互影響。</w:t>
            </w:r>
          </w:p>
        </w:tc>
        <w:tc>
          <w:tcPr>
            <w:tcW w:w="1219"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◆能夠應用磁鐵特性，設計並製作創意玩具。</w:t>
            </w:r>
          </w:p>
        </w:tc>
        <w:tc>
          <w:tcPr>
            <w:tcW w:w="201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◆應用單元中所學到的磁鐵特性，設計並製作創意玩具。</w:t>
            </w:r>
          </w:p>
        </w:tc>
        <w:tc>
          <w:tcPr>
            <w:tcW w:w="697"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操作評量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態度評量</w:t>
            </w:r>
          </w:p>
        </w:tc>
      </w:tr>
    </w:tbl>
    <w:p w:rsidR="0061075C" w:rsidRDefault="00C156DC">
      <w:pPr>
        <w:pBdr>
          <w:top w:val="nil"/>
          <w:left w:val="nil"/>
          <w:bottom w:val="nil"/>
          <w:right w:val="nil"/>
          <w:between w:val="nil"/>
        </w:pBdr>
        <w:spacing w:line="240" w:lineRule="auto"/>
        <w:ind w:left="0" w:hanging="2"/>
        <w:rPr>
          <w:color w:val="000000"/>
          <w:szCs w:val="24"/>
        </w:rPr>
      </w:pPr>
      <w:r>
        <w:lastRenderedPageBreak/>
        <w:br w:type="page"/>
      </w:r>
    </w:p>
    <w:tbl>
      <w:tblPr>
        <w:tblStyle w:val="ac"/>
        <w:tblW w:w="9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718"/>
        <w:gridCol w:w="994"/>
        <w:gridCol w:w="400"/>
        <w:gridCol w:w="725"/>
        <w:gridCol w:w="1262"/>
        <w:gridCol w:w="103"/>
        <w:gridCol w:w="901"/>
        <w:gridCol w:w="709"/>
        <w:gridCol w:w="881"/>
        <w:gridCol w:w="993"/>
        <w:gridCol w:w="1394"/>
      </w:tblGrid>
      <w:tr w:rsidR="0061075C">
        <w:trPr>
          <w:trHeight w:val="340"/>
        </w:trPr>
        <w:tc>
          <w:tcPr>
            <w:tcW w:w="9755" w:type="dxa"/>
            <w:gridSpan w:val="1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lastRenderedPageBreak/>
              <w:t>嘉義市</w:t>
            </w:r>
            <w:r>
              <w:rPr>
                <w:rFonts w:ascii="標楷體" w:eastAsia="標楷體" w:hAnsi="標楷體" w:cs="標楷體"/>
                <w:szCs w:val="24"/>
              </w:rPr>
              <w:t>港坪</w:t>
            </w:r>
            <w:r>
              <w:rPr>
                <w:rFonts w:ascii="標楷體" w:eastAsia="標楷體" w:hAnsi="標楷體" w:cs="標楷體"/>
                <w:color w:val="000000"/>
                <w:szCs w:val="24"/>
              </w:rPr>
              <w:t>國民小學11</w:t>
            </w:r>
            <w:r w:rsidR="00A04337">
              <w:rPr>
                <w:rFonts w:ascii="標楷體" w:eastAsia="標楷體" w:hAnsi="標楷體" w:cs="標楷體" w:hint="eastAsia"/>
                <w:color w:val="000000"/>
                <w:szCs w:val="24"/>
              </w:rPr>
              <w:t>1</w:t>
            </w:r>
            <w:r>
              <w:rPr>
                <w:rFonts w:ascii="標楷體" w:eastAsia="標楷體" w:hAnsi="標楷體" w:cs="標楷體"/>
                <w:color w:val="000000"/>
                <w:szCs w:val="24"/>
              </w:rPr>
              <w:t xml:space="preserve">學年度第二學期 </w:t>
            </w:r>
            <w:r>
              <w:rPr>
                <w:rFonts w:ascii="標楷體" w:eastAsia="標楷體" w:hAnsi="標楷體" w:cs="標楷體"/>
                <w:color w:val="000000"/>
                <w:szCs w:val="24"/>
                <w:u w:val="single"/>
              </w:rPr>
              <w:t>三</w:t>
            </w:r>
            <w:r>
              <w:rPr>
                <w:rFonts w:ascii="標楷體" w:eastAsia="標楷體" w:hAnsi="標楷體" w:cs="標楷體"/>
                <w:color w:val="000000"/>
                <w:szCs w:val="24"/>
              </w:rPr>
              <w:t xml:space="preserve"> 年級 </w:t>
            </w:r>
            <w:r>
              <w:rPr>
                <w:rFonts w:ascii="標楷體" w:eastAsia="標楷體" w:hAnsi="標楷體" w:cs="標楷體"/>
                <w:color w:val="000000"/>
                <w:szCs w:val="24"/>
                <w:u w:val="single"/>
              </w:rPr>
              <w:t>自然科</w:t>
            </w:r>
            <w:r w:rsidR="00A04337">
              <w:rPr>
                <w:rFonts w:ascii="標楷體" w:eastAsia="標楷體" w:hAnsi="標楷體" w:cs="標楷體" w:hint="eastAsia"/>
                <w:color w:val="000000"/>
                <w:szCs w:val="24"/>
                <w:u w:val="single"/>
              </w:rPr>
              <w:t>學</w:t>
            </w:r>
            <w:r>
              <w:rPr>
                <w:rFonts w:ascii="標楷體" w:eastAsia="標楷體" w:hAnsi="標楷體" w:cs="標楷體"/>
                <w:szCs w:val="24"/>
                <w:u w:val="single"/>
              </w:rPr>
              <w:t>領域</w:t>
            </w:r>
            <w:r>
              <w:rPr>
                <w:rFonts w:ascii="標楷體" w:eastAsia="標楷體" w:hAnsi="標楷體" w:cs="標楷體"/>
                <w:color w:val="000000"/>
                <w:szCs w:val="24"/>
              </w:rPr>
              <w:t xml:space="preserve"> 課程計畫</w:t>
            </w:r>
          </w:p>
        </w:tc>
      </w:tr>
      <w:tr w:rsidR="0061075C">
        <w:trPr>
          <w:trHeight w:val="340"/>
        </w:trPr>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每週節數</w:t>
            </w:r>
          </w:p>
        </w:tc>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3節</w:t>
            </w:r>
          </w:p>
        </w:tc>
        <w:tc>
          <w:tcPr>
            <w:tcW w:w="2594" w:type="dxa"/>
            <w:gridSpan w:val="4"/>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設計者</w:t>
            </w:r>
          </w:p>
        </w:tc>
        <w:tc>
          <w:tcPr>
            <w:tcW w:w="2387" w:type="dxa"/>
            <w:gridSpan w:val="2"/>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 xml:space="preserve"> </w:t>
            </w:r>
          </w:p>
        </w:tc>
      </w:tr>
      <w:tr w:rsidR="0061075C">
        <w:trPr>
          <w:trHeight w:val="320"/>
        </w:trPr>
        <w:tc>
          <w:tcPr>
            <w:tcW w:w="2387" w:type="dxa"/>
            <w:gridSpan w:val="3"/>
            <w:vMerge w:val="restart"/>
            <w:vAlign w:val="center"/>
          </w:tcPr>
          <w:p w:rsidR="0061075C" w:rsidRDefault="00C156DC">
            <w:pPr>
              <w:pBdr>
                <w:top w:val="nil"/>
                <w:left w:val="nil"/>
                <w:bottom w:val="nil"/>
                <w:right w:val="nil"/>
                <w:between w:val="nil"/>
              </w:pBdr>
              <w:spacing w:line="240" w:lineRule="auto"/>
              <w:ind w:left="0" w:hanging="2"/>
              <w:jc w:val="center"/>
              <w:rPr>
                <w:color w:val="000000"/>
                <w:szCs w:val="24"/>
              </w:rPr>
            </w:pPr>
            <w:r>
              <w:rPr>
                <w:rFonts w:eastAsia="Calibri"/>
                <w:color w:val="000000"/>
                <w:szCs w:val="24"/>
              </w:rPr>
              <w:t>核心素養</w:t>
            </w:r>
          </w:p>
        </w:tc>
        <w:tc>
          <w:tcPr>
            <w:tcW w:w="1125" w:type="dxa"/>
            <w:gridSpan w:val="2"/>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總綱</w:t>
            </w:r>
          </w:p>
        </w:tc>
        <w:tc>
          <w:tcPr>
            <w:tcW w:w="6243" w:type="dxa"/>
            <w:gridSpan w:val="7"/>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A1身心素質與自我精進</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A2系統思考與解決問題</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A3規劃執行與創新應變</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B1符號運用與溝通表達</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B2科技資訊與媒體素養</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B3藝術涵養與美感素養</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C1道德實踐與公民意識</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 w:val="20"/>
                <w:szCs w:val="20"/>
              </w:rPr>
              <w:t>C2人際關係與團隊合作</w:t>
            </w:r>
          </w:p>
        </w:tc>
      </w:tr>
      <w:tr w:rsidR="0061075C">
        <w:trPr>
          <w:trHeight w:val="320"/>
        </w:trPr>
        <w:tc>
          <w:tcPr>
            <w:tcW w:w="2387" w:type="dxa"/>
            <w:gridSpan w:val="3"/>
            <w:vMerge/>
            <w:vAlign w:val="center"/>
          </w:tcPr>
          <w:p w:rsidR="0061075C" w:rsidRDefault="0061075C">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125" w:type="dxa"/>
            <w:gridSpan w:val="2"/>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領綱</w:t>
            </w:r>
          </w:p>
        </w:tc>
        <w:tc>
          <w:tcPr>
            <w:tcW w:w="6243" w:type="dxa"/>
            <w:gridSpan w:val="7"/>
          </w:tcPr>
          <w:p w:rsidR="0061075C" w:rsidRDefault="00C156DC">
            <w:pPr>
              <w:pBdr>
                <w:top w:val="nil"/>
                <w:left w:val="nil"/>
                <w:bottom w:val="nil"/>
                <w:right w:val="nil"/>
                <w:between w:val="nil"/>
              </w:pBdr>
              <w:spacing w:line="240" w:lineRule="auto"/>
              <w:ind w:left="0" w:hanging="2"/>
              <w:rPr>
                <w:rFonts w:ascii="FU-BZ" w:eastAsia="FU-BZ" w:hAnsi="FU-BZ" w:cs="FU-BZ"/>
                <w:color w:val="000000"/>
                <w:sz w:val="20"/>
                <w:szCs w:val="20"/>
              </w:rPr>
            </w:pPr>
            <w:r>
              <w:rPr>
                <w:rFonts w:ascii="FU-BZ" w:eastAsia="FU-BZ" w:hAnsi="FU-BZ" w:cs="FU-BZ"/>
                <w:color w:val="000000"/>
                <w:sz w:val="20"/>
                <w:szCs w:val="20"/>
              </w:rPr>
              <w:t>自-E-A1能運用五官，敏銳的觀察周遭環境，保持好奇心、想像力持續探索自然。</w:t>
            </w:r>
          </w:p>
          <w:p w:rsidR="0061075C" w:rsidRDefault="00C156DC">
            <w:pPr>
              <w:pBdr>
                <w:top w:val="nil"/>
                <w:left w:val="nil"/>
                <w:bottom w:val="nil"/>
                <w:right w:val="nil"/>
                <w:between w:val="nil"/>
              </w:pBdr>
              <w:spacing w:line="240" w:lineRule="auto"/>
              <w:ind w:left="0" w:hanging="2"/>
              <w:rPr>
                <w:rFonts w:ascii="FU-BZ" w:eastAsia="FU-BZ" w:hAnsi="FU-BZ" w:cs="FU-BZ"/>
                <w:color w:val="000000"/>
                <w:sz w:val="20"/>
                <w:szCs w:val="20"/>
              </w:rPr>
            </w:pPr>
            <w:r>
              <w:rPr>
                <w:rFonts w:ascii="FU-BZ" w:eastAsia="FU-BZ" w:hAnsi="FU-BZ" w:cs="FU-BZ"/>
                <w:color w:val="000000"/>
                <w:sz w:val="20"/>
                <w:szCs w:val="20"/>
              </w:rPr>
              <w:t>自-E-A2能運用好奇心及想像能力，從觀察、閱讀、思考所得的資訊或數據中，提出適合科學探究的問題或解釋資料，並能依據已知的科學知識、科學概念及探索科學的方法去想像可能發生的事情，以及理解科學事實會有不同的論點、證據或解釋方式。</w:t>
            </w:r>
          </w:p>
          <w:p w:rsidR="0061075C" w:rsidRDefault="00C156DC">
            <w:pPr>
              <w:pBdr>
                <w:top w:val="nil"/>
                <w:left w:val="nil"/>
                <w:bottom w:val="nil"/>
                <w:right w:val="nil"/>
                <w:between w:val="nil"/>
              </w:pBdr>
              <w:spacing w:line="240" w:lineRule="auto"/>
              <w:ind w:left="0" w:hanging="2"/>
              <w:rPr>
                <w:rFonts w:ascii="FU-BZ" w:eastAsia="FU-BZ" w:hAnsi="FU-BZ" w:cs="FU-BZ"/>
                <w:color w:val="000000"/>
                <w:sz w:val="20"/>
                <w:szCs w:val="20"/>
              </w:rPr>
            </w:pPr>
            <w:r>
              <w:rPr>
                <w:rFonts w:ascii="FU-BZ" w:eastAsia="FU-BZ" w:hAnsi="FU-BZ" w:cs="FU-BZ"/>
                <w:color w:val="000000"/>
                <w:sz w:val="20"/>
                <w:szCs w:val="20"/>
              </w:rPr>
              <w:t>自-E-A3具備透過實地操作探究活動探索科學問題的能力，並能初步根據問題特性、資源的有無等因素，規劃簡單步驟，操作適合學習階段的器材儀器、科技設備及資源，進行自然科學實驗。</w:t>
            </w:r>
          </w:p>
          <w:p w:rsidR="0061075C" w:rsidRDefault="00C156DC">
            <w:pPr>
              <w:pBdr>
                <w:top w:val="nil"/>
                <w:left w:val="nil"/>
                <w:bottom w:val="nil"/>
                <w:right w:val="nil"/>
                <w:between w:val="nil"/>
              </w:pBdr>
              <w:spacing w:line="240" w:lineRule="auto"/>
              <w:ind w:left="0" w:hanging="2"/>
              <w:rPr>
                <w:rFonts w:ascii="FU-BZ" w:eastAsia="FU-BZ" w:hAnsi="FU-BZ" w:cs="FU-BZ"/>
                <w:color w:val="000000"/>
                <w:sz w:val="20"/>
                <w:szCs w:val="20"/>
              </w:rPr>
            </w:pPr>
            <w:r>
              <w:rPr>
                <w:rFonts w:ascii="FU-BZ" w:eastAsia="FU-BZ" w:hAnsi="FU-BZ" w:cs="FU-BZ"/>
                <w:color w:val="000000"/>
                <w:sz w:val="20"/>
                <w:szCs w:val="20"/>
              </w:rPr>
              <w:t>自-E-B1能分析比較、製作圖表、運用簡單數學等方法，整理已有的自然科學資訊或數據，並利用較簡單形式的口語、文字、影像、繪圖或實物、科學名詞、數學公式、模型等，表達探究之過程、發現或成果。</w:t>
            </w:r>
          </w:p>
          <w:p w:rsidR="0061075C" w:rsidRDefault="00C156DC">
            <w:pPr>
              <w:pBdr>
                <w:top w:val="nil"/>
                <w:left w:val="nil"/>
                <w:bottom w:val="nil"/>
                <w:right w:val="nil"/>
                <w:between w:val="nil"/>
              </w:pBdr>
              <w:spacing w:line="240" w:lineRule="auto"/>
              <w:ind w:left="0" w:hanging="2"/>
              <w:rPr>
                <w:rFonts w:ascii="FU-BZ" w:eastAsia="FU-BZ" w:hAnsi="FU-BZ" w:cs="FU-BZ"/>
                <w:color w:val="000000"/>
                <w:sz w:val="20"/>
                <w:szCs w:val="20"/>
              </w:rPr>
            </w:pPr>
            <w:r>
              <w:rPr>
                <w:rFonts w:ascii="FU-BZ" w:eastAsia="FU-BZ" w:hAnsi="FU-BZ" w:cs="FU-BZ"/>
                <w:color w:val="000000"/>
                <w:sz w:val="20"/>
                <w:szCs w:val="20"/>
              </w:rPr>
              <w:t>自-E-B2能了解科技及媒體的運用方式，並從學習活動、日常經驗及科技運用、自然環境、書刊及網路媒體等，察覺問題或獲得有助於探究的資訊。</w:t>
            </w:r>
          </w:p>
          <w:p w:rsidR="0061075C" w:rsidRDefault="00C156DC">
            <w:pPr>
              <w:pBdr>
                <w:top w:val="nil"/>
                <w:left w:val="nil"/>
                <w:bottom w:val="nil"/>
                <w:right w:val="nil"/>
                <w:between w:val="nil"/>
              </w:pBdr>
              <w:spacing w:line="240" w:lineRule="auto"/>
              <w:ind w:left="0" w:hanging="2"/>
              <w:rPr>
                <w:rFonts w:ascii="FU-BZ" w:eastAsia="FU-BZ" w:hAnsi="FU-BZ" w:cs="FU-BZ"/>
                <w:color w:val="000000"/>
                <w:sz w:val="20"/>
                <w:szCs w:val="20"/>
              </w:rPr>
            </w:pPr>
            <w:r>
              <w:rPr>
                <w:rFonts w:ascii="FU-BZ" w:eastAsia="FU-BZ" w:hAnsi="FU-BZ" w:cs="FU-BZ"/>
                <w:color w:val="000000"/>
                <w:sz w:val="20"/>
                <w:szCs w:val="20"/>
              </w:rPr>
              <w:t>自-E-B3透過五官知覺觀察周遭環境的動植物與自然現象，知道如何欣賞美的事物。</w:t>
            </w:r>
          </w:p>
          <w:p w:rsidR="0061075C" w:rsidRDefault="00C156DC">
            <w:pPr>
              <w:pBdr>
                <w:top w:val="nil"/>
                <w:left w:val="nil"/>
                <w:bottom w:val="nil"/>
                <w:right w:val="nil"/>
                <w:between w:val="nil"/>
              </w:pBdr>
              <w:spacing w:line="240" w:lineRule="auto"/>
              <w:ind w:left="0" w:hanging="2"/>
              <w:rPr>
                <w:rFonts w:ascii="FU-BZ" w:eastAsia="FU-BZ" w:hAnsi="FU-BZ" w:cs="FU-BZ"/>
                <w:color w:val="000000"/>
                <w:sz w:val="20"/>
                <w:szCs w:val="20"/>
              </w:rPr>
            </w:pPr>
            <w:r>
              <w:rPr>
                <w:rFonts w:ascii="FU-BZ" w:eastAsia="FU-BZ" w:hAnsi="FU-BZ" w:cs="FU-BZ"/>
                <w:color w:val="000000"/>
                <w:sz w:val="20"/>
                <w:szCs w:val="20"/>
              </w:rPr>
              <w:t>自-E-C1培養愛護自然、珍愛生命、惜取資源的關懷心與行動力。</w:t>
            </w:r>
          </w:p>
          <w:p w:rsidR="0061075C" w:rsidRDefault="00C156DC">
            <w:pPr>
              <w:pBdr>
                <w:top w:val="nil"/>
                <w:left w:val="nil"/>
                <w:bottom w:val="nil"/>
                <w:right w:val="nil"/>
                <w:between w:val="nil"/>
              </w:pBdr>
              <w:spacing w:line="240" w:lineRule="auto"/>
              <w:ind w:left="0" w:hanging="2"/>
              <w:rPr>
                <w:rFonts w:ascii="FU-BZ" w:eastAsia="FU-BZ" w:hAnsi="FU-BZ" w:cs="FU-BZ"/>
                <w:color w:val="000000"/>
                <w:sz w:val="20"/>
                <w:szCs w:val="20"/>
              </w:rPr>
            </w:pPr>
            <w:r>
              <w:rPr>
                <w:rFonts w:ascii="FU-BZ" w:eastAsia="FU-BZ" w:hAnsi="FU-BZ" w:cs="FU-BZ"/>
                <w:color w:val="000000"/>
                <w:sz w:val="20"/>
                <w:szCs w:val="20"/>
              </w:rPr>
              <w:t>自-E-C2透過探索科學的合作學習，培養與同儕溝通表達、團隊合作及和諧相處的能力。</w:t>
            </w:r>
          </w:p>
        </w:tc>
      </w:tr>
      <w:tr w:rsidR="0061075C">
        <w:trPr>
          <w:trHeight w:val="219"/>
        </w:trPr>
        <w:tc>
          <w:tcPr>
            <w:tcW w:w="2387" w:type="dxa"/>
            <w:gridSpan w:val="3"/>
            <w:vMerge w:val="restart"/>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學習重點</w:t>
            </w:r>
          </w:p>
        </w:tc>
        <w:tc>
          <w:tcPr>
            <w:tcW w:w="1125" w:type="dxa"/>
            <w:gridSpan w:val="2"/>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學習表現</w:t>
            </w:r>
          </w:p>
        </w:tc>
        <w:tc>
          <w:tcPr>
            <w:tcW w:w="6243" w:type="dxa"/>
            <w:gridSpan w:val="7"/>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ah-Ⅱ-1透過各種感官了解生活周遭事物的屬性。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ai-Ⅱ-2透過探討自然與物質世界的規律性，感受發現的樂趣。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an-Ⅱ-1體會科學的探索都是由問題開始。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an-Ⅱ-3發覺創造和想像是科學的重要元素。</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pa-Ⅱ-1能運用簡單分類、製作圖表等方法，整理已有的資訊或數據。</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pa-Ⅱ-2能從得到的資訊或數據，形成解釋、得到解答、解決問題。並能將自己的探究結果和他人的結果（例如：來自老師）相比較，檢查是否相近。</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pc-Ⅱ-1能專注聆聽同學報告，提出疑問或意見。並能對探究方法、過程或結果，進行檢討。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pc-Ⅱ-2能利用簡單形式的口語、文字或圖畫等，表達探究之過程、發現。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pe-Ⅱ-1能了解一個因素改變可能造成的影響，進而預測活動的大致結果。在教師或教科書的指導或說明下，能了解探究的計畫。</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pe-Ⅱ-2能正確安全操作適合學習階段的物品、器材儀器、科技設備及資源，並能觀察和記錄。</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po-Ⅱ-1能從日常經驗、學習活動、自然環境，進而觀察，進而能察覺問題。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po-Ⅱ-2能依據觀察、蒐集資料、閱讀、思考、討論等，提出問題。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ti-Ⅱ-1能在指導下觀察日常生活現象的規律性，並運用想像力與好奇心，了解及描述自然環境的現象。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tm-Ⅱ-1能經由觀察自然界現象之間的關係，理解簡單的概念模型，進而與其生活經驗連結。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tc>
      </w:tr>
      <w:tr w:rsidR="0061075C">
        <w:trPr>
          <w:trHeight w:val="219"/>
        </w:trPr>
        <w:tc>
          <w:tcPr>
            <w:tcW w:w="2387" w:type="dxa"/>
            <w:gridSpan w:val="3"/>
            <w:vMerge/>
            <w:vAlign w:val="center"/>
          </w:tcPr>
          <w:p w:rsidR="0061075C" w:rsidRDefault="0061075C">
            <w:pPr>
              <w:pBdr>
                <w:top w:val="nil"/>
                <w:left w:val="nil"/>
                <w:bottom w:val="nil"/>
                <w:right w:val="nil"/>
                <w:between w:val="nil"/>
              </w:pBdr>
              <w:spacing w:line="276" w:lineRule="auto"/>
              <w:ind w:left="0" w:hanging="2"/>
              <w:rPr>
                <w:rFonts w:ascii="標楷體" w:eastAsia="標楷體" w:hAnsi="標楷體" w:cs="標楷體"/>
                <w:color w:val="000000"/>
                <w:sz w:val="20"/>
                <w:szCs w:val="20"/>
              </w:rPr>
            </w:pPr>
          </w:p>
        </w:tc>
        <w:tc>
          <w:tcPr>
            <w:tcW w:w="1125" w:type="dxa"/>
            <w:gridSpan w:val="2"/>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學習內容</w:t>
            </w:r>
          </w:p>
        </w:tc>
        <w:tc>
          <w:tcPr>
            <w:tcW w:w="6243" w:type="dxa"/>
            <w:gridSpan w:val="7"/>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INa-Ⅱ-1自然界（包含生物與非生物）是由不同物質所組成。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INa-Ⅱ-2在地球上，物質具有重量，占有體積。</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INa-Ⅱ-3物質各有其特性，並可以依其特性與用途進行分類。</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INa-Ⅱ-4物質的形態會因溫度的不同而改變。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INa-Ⅱ-5太陽照射、物質燃燒和摩擦等可以使溫度升高，運用測量的方法可知溫度高低。</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INa-Ⅱ-6太陽是地球能量的主要來源，提供生物的生長需要，能量可以各種形式呈現。</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INa-Ⅱ-7生物需要能量（養分）、陽光、空氣、水和土壤，維持生命、生長與活動。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INb-Ⅱ-2物質性質上的差異性可用來區分或分離物質。</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INc-Ⅱ-1使用工具或自訂參考標準可量度或比較。</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INc-Ⅱ-2生活中常見的測量單位與度量。</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INc-Ⅱ-5水和空氣可以傳送動力讓物體移動。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INc-Ⅱ-6水有三態變化及毛細現象。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INd-Ⅱ-1當受外在因素作用時，物質或自然現象可能會改變。改變有些較快、有些較慢；有些可以回復，有些則不能。</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INd-Ⅱ-2物質或自然現象的改變情形，可以運用測量的工具和方法得知。</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INd-Ⅱ-3生物從出生、成長到死亡有一定的壽命，透過生殖繁衍下一代。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INd-Ⅱ-6一年四季氣溫會有所變化，天氣也會有所不同。氣象報告可以讓我們知道天氣的可能變化。</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INd-Ⅱ-7天氣預報常用雨量、溫度、風向、風速等資料來表達天氣狀態，這些資料可以使用適當儀器測得。</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INe-Ⅱ-10天氣預報常用雨量、溫度、風向、風速等資料來表達天氣狀態，這些資料可以使用適當儀器測得。</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INe-Ⅱ-11環境的變化會影響植物生長。</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INe-Ⅱ-1自然界的物體、生物、環境間常會相互影響。</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INe-Ⅱ-2溫度會影響物質在水中溶解的程度(定性)及物質燃燒、生鏽、發酵等現象。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INe-Ⅱ-3有些物質溶於水中，有些物質不容易溶於水中。</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INe-Ⅱ-4常見食物的酸鹼性有時可利用氣味、觸覺、味覺簡單區分，花卉、菜葉會因接觸到酸鹼而改變顏色。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INf-Ⅱ-2不同的環境影響人類食物的種類、來源與飲食習慣。</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INf-Ⅱ-3自然的規律與變化對人類生活應用與美感的啟發。</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INf-Ⅱ-4動物的感覺器官接受刺激會引起生理和行為反應。</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INg-Ⅱ-1自然環境中有許多資源。人類生存與生活需依賴自然環境中的各種資源但自然資源都是有限的，需要珍惜使用。</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INg-Ⅱ-2地球資源永續可結合日常生活中低碳與節水方法做起。</w:t>
            </w:r>
          </w:p>
        </w:tc>
      </w:tr>
      <w:tr w:rsidR="0061075C">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融入之議題</w:t>
            </w:r>
          </w:p>
        </w:tc>
        <w:tc>
          <w:tcPr>
            <w:tcW w:w="7368" w:type="dxa"/>
            <w:gridSpan w:val="9"/>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【人權教育】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人E3了解每個人需求的不同，並討論與遵守團體的規則。</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人E5欣賞、包容個別差異並尊重自己與他人的權利。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【戶外教育】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戶E1善用教室外、戶外及校外教學，認識生活環境（自然或人為）。</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戶E3善用五官的感知，培養眼、耳、鼻、舌、觸覺及心靈對環境感受的能力。</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【生命教育】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生E1思考的重要性與進行思考時的適當情意與態度。</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【生涯規劃教育】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涯E11培養規畫與運用時間的能力。</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【性別平等教育】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性E1認識生理性別、性傾向、性別特質與性別認同的多元面貌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性E3覺察性別角色的刻板印象，了解家庭、學校與職業的分工，不應受性別的限制。</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性E11培養性別間合宜表達情感的能力</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【品德教育】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品E1良好生活習慣與德行。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品E2自尊尊人與自愛愛人。</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品E3溝通合作與和諧人際關係。</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【科技教育】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科E6操作家庭常見的手工具。</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科E9具備與他人團隊合作的能力。</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【家庭教育】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家E5主動與家人分享。</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【海洋教育】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海E10認識水與海洋的特性及其與生活的應用。</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海E12認識海上交通工具和科技發展的關係。</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【能源教育】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能E8於家庭、校園生活實踐節能減碳的行動。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【資訊教育】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資E1認識常見的資訊系統。</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資E2使用資訊科技解決生活中簡單的問題。</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【閱讀素養教育】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閱E10中、高年級：能從報章雜誌及其他閱讀媒材中汲取與學科相關的知識。</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閱E1認識一般生活情境中需要使用的，以及學習學科基礎知識所應具備的字詞彙。</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閱E8低、中年級以紙本閱讀為主。</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【環境教育】</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環E1參與戶外學習與自然體驗，覺知自然環境的美、平衡與完整性。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環E2覺知生物生命的美與價值，關懷動、植物的生命。</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環E8認識天氣的溫度、雨量要素與覺察氣候的趨勢及極端氣候的現象。</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環E9覺知氣候變遷會對生活、社會及環境造成衝擊。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環E12養成對災害的警覺心及敏感度，對災害有基本的了解，並能避免災害的發生。</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環E14覺知人類生存與發展需要利用能源及資源，學習在生活中直接利用自然能源或自然形式的物質。</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環E17養成日常生活節約用水、用電、物質的行為，減少資源的消耗。</w:t>
            </w:r>
          </w:p>
        </w:tc>
      </w:tr>
      <w:tr w:rsidR="0061075C">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lastRenderedPageBreak/>
              <w:t>學習目標</w:t>
            </w:r>
          </w:p>
        </w:tc>
        <w:tc>
          <w:tcPr>
            <w:tcW w:w="7368" w:type="dxa"/>
            <w:gridSpan w:val="9"/>
            <w:vAlign w:val="center"/>
          </w:tcPr>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1.透過觀察，知道蔬菜需要養分、陽光、空氣、水和土壤等條件，才能持續生長，維持生命；發現蔬菜的生長情形，可以運用測量的工具與方法得知。</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2.透過日常生活中的觀察，發覺蔬菜的不同特性，並能依蔬菜構造分辨食用部位；了解不同環境影響人類食物的種類、來源與飲食習慣，進而了解珍惜食物的意義。</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3.經由觀察農夫種菜流程，發現種菜的步驟；能資料查詢、比較和解讀，並能由資料判斷蔬菜的種植方式、種子發芽的環境，並思考後續生長所需的條件及如何照顧蔬菜。</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4.藉由種植蔬菜，發現蔬菜從出生到死亡有一定的壽命，而且會利用種子孕育下一代；透過種植蔬菜，發現自然界的生物、植物、環境之間常會互相影響。</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5.透過日常生活中的觀察，察覺水有不同形態與變化；了解溫度會造成水的三態變化；找出日常生活中水蒸氣、水和冰的用途。</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6.經由觀察察覺生活中水會變成水蒸氣的現象；知道水遇冷會凝固成冰。</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7.透過實驗活動了解冰遇熱會融化成水；經由觀察與操作，察覺水蒸氣會凝結成水。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8.認識各種查詢天氣預報的方法與資料所代表的涵義，學習如何讀取天氣預報的資訊，並了解提前知道天氣狀態的對生活有哪些好處。</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9.透過討論和觀察，推論天氣的變化與雲量的關係；透過常見的下雨、淹水等相關新聞報導，能夠認識測量雨量的方法，並了解雨量觀測在活中的重要性。</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10.能知道氣溫計正確的使用方法，並實際測量與觀察一天的氣溫變化；透過風向袋在工地使用的相關新聞報導，能夠知道風向與風力在生活中的重要性；學習使用指北針確認方位，並透過自製簡易風向風力計來實際觀測風向和風力。</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11.能認識生活中常見的天氣預報種類，並知道不同種類的天氣預報用途；了解天氣變化對我們生活的影響，並知道該如何預防及面對各種天氣狀態。</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12.藉由觀察紅鳳菜等汁液接觸到酸鹼液體而變色，察覺物質會因接觸不同環境而改變。</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13.透過日常生活中的觀察，探究溶解的意義；能利用查詢資料及討論，認識生活中應用溶解的例子。</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14.經由觀察與操作，察覺有些物質會溶於水，有些不會溶於水。</w:t>
            </w:r>
          </w:p>
          <w:p w:rsidR="0061075C" w:rsidRDefault="00C156D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15.經由操作活動知道食鹽可以溶解的量是有限的；透過觀察與實驗，察覺提高水溫、增加水量會影響食鹽可以溶解的量。</w:t>
            </w:r>
          </w:p>
        </w:tc>
      </w:tr>
      <w:tr w:rsidR="0061075C">
        <w:tc>
          <w:tcPr>
            <w:tcW w:w="2387"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FF0000"/>
                <w:sz w:val="22"/>
              </w:rPr>
            </w:pPr>
            <w:r>
              <w:rPr>
                <w:rFonts w:ascii="標楷體" w:eastAsia="標楷體" w:hAnsi="標楷體" w:cs="標楷體"/>
                <w:color w:val="000000"/>
                <w:sz w:val="22"/>
              </w:rPr>
              <w:lastRenderedPageBreak/>
              <w:t>教學與評量說明</w:t>
            </w:r>
          </w:p>
        </w:tc>
        <w:tc>
          <w:tcPr>
            <w:tcW w:w="7368" w:type="dxa"/>
            <w:gridSpan w:val="9"/>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一、教材與相關資源(教材書版本、相關資源)</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南一版自然科學、南一版電子書</w:t>
            </w:r>
          </w:p>
          <w:p w:rsidR="0061075C" w:rsidRDefault="0061075C">
            <w:pPr>
              <w:pBdr>
                <w:top w:val="nil"/>
                <w:left w:val="nil"/>
                <w:bottom w:val="nil"/>
                <w:right w:val="nil"/>
                <w:between w:val="nil"/>
              </w:pBdr>
              <w:spacing w:line="240" w:lineRule="auto"/>
              <w:ind w:left="0" w:hanging="2"/>
              <w:jc w:val="both"/>
              <w:rPr>
                <w:rFonts w:ascii="標楷體" w:eastAsia="標楷體" w:hAnsi="標楷體" w:cs="標楷體"/>
                <w:color w:val="000000"/>
                <w:sz w:val="22"/>
              </w:rPr>
            </w:pP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二、教學方法或策略</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1.教學要領或方法是大原則的提領導向；基本策略的熟練融會，是學習導引的重要手段，茲列如下：觀察、發表、操作、體驗、示範演練、調查、欣賞、反省、思考、讚美肯定、討論、綜合方法、運用資訊。</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2.透過各種教學內容與探究活動，如科學閱讀、這也是科學、科學探究等設計，讓教師能彈性應用。</w:t>
            </w:r>
          </w:p>
          <w:p w:rsidR="0061075C" w:rsidRDefault="0061075C">
            <w:pPr>
              <w:pBdr>
                <w:top w:val="nil"/>
                <w:left w:val="nil"/>
                <w:bottom w:val="nil"/>
                <w:right w:val="nil"/>
                <w:between w:val="nil"/>
              </w:pBdr>
              <w:spacing w:line="240" w:lineRule="auto"/>
              <w:ind w:left="0" w:hanging="2"/>
              <w:jc w:val="both"/>
              <w:rPr>
                <w:rFonts w:ascii="標楷體" w:eastAsia="標楷體" w:hAnsi="標楷體" w:cs="標楷體"/>
                <w:color w:val="000000"/>
                <w:sz w:val="22"/>
              </w:rPr>
            </w:pP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三、教學評量</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2"/>
              </w:rPr>
              <w:t>觀察評量、發表評量、操作評量、口語評量、態度評量</w:t>
            </w:r>
          </w:p>
        </w:tc>
      </w:tr>
      <w:tr w:rsidR="0061075C">
        <w:trPr>
          <w:trHeight w:val="397"/>
        </w:trPr>
        <w:tc>
          <w:tcPr>
            <w:tcW w:w="1393" w:type="dxa"/>
            <w:gridSpan w:val="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教科書版本</w:t>
            </w:r>
          </w:p>
        </w:tc>
        <w:tc>
          <w:tcPr>
            <w:tcW w:w="1394" w:type="dxa"/>
            <w:gridSpan w:val="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南一版</w:t>
            </w:r>
          </w:p>
        </w:tc>
        <w:tc>
          <w:tcPr>
            <w:tcW w:w="2090" w:type="dxa"/>
            <w:gridSpan w:val="3"/>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每週教學節數</w:t>
            </w:r>
          </w:p>
        </w:tc>
        <w:tc>
          <w:tcPr>
            <w:tcW w:w="1610" w:type="dxa"/>
            <w:gridSpan w:val="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3</w:t>
            </w:r>
          </w:p>
        </w:tc>
        <w:tc>
          <w:tcPr>
            <w:tcW w:w="1874" w:type="dxa"/>
            <w:gridSpan w:val="2"/>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學期總教學節數</w:t>
            </w:r>
          </w:p>
        </w:tc>
        <w:tc>
          <w:tcPr>
            <w:tcW w:w="1394" w:type="dxa"/>
            <w:vAlign w:val="center"/>
          </w:tcPr>
          <w:p w:rsidR="0061075C" w:rsidRDefault="0061075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p>
        </w:tc>
      </w:tr>
      <w:tr w:rsidR="0061075C">
        <w:trPr>
          <w:trHeight w:val="397"/>
        </w:trPr>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週次</w:t>
            </w:r>
          </w:p>
        </w:tc>
        <w:tc>
          <w:tcPr>
            <w:tcW w:w="4202" w:type="dxa"/>
            <w:gridSpan w:val="6"/>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單元名稱</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週次</w:t>
            </w:r>
          </w:p>
        </w:tc>
        <w:tc>
          <w:tcPr>
            <w:tcW w:w="3977" w:type="dxa"/>
            <w:gridSpan w:val="4"/>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單元名稱</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一</w:t>
            </w:r>
          </w:p>
        </w:tc>
        <w:tc>
          <w:tcPr>
            <w:tcW w:w="4202" w:type="dxa"/>
            <w:gridSpan w:val="6"/>
            <w:vAlign w:val="center"/>
          </w:tcPr>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開學準備週</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十二</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2.小小氣象員</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二</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一、種菜好好玩</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1.菜園裡的菜</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十三</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2.小小氣象員</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三</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一、種菜好好玩</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2.照顧蔬菜</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十四</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2.小小氣象員</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四</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一、種菜好好玩</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2.照顧蔬菜</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十五</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3.天氣與生活</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五</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一、種菜好好玩</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3.蔬菜長大了</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十六</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1.辨認調味品</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六</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1.水和水蒸氣</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十七</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2.菜汁變色了</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七</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1.水和水蒸氣</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十八</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3.溶解的現象</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八</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2.水和冰</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十九</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3.溶解的現象</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九</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2.水和冰</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二十</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3.溶解的現象</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3.水的應用</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二十一</w:t>
            </w:r>
          </w:p>
        </w:tc>
        <w:tc>
          <w:tcPr>
            <w:tcW w:w="3977" w:type="dxa"/>
            <w:gridSpan w:val="4"/>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3.溶解的現象</w:t>
            </w:r>
          </w:p>
        </w:tc>
      </w:tr>
      <w:tr w:rsidR="0061075C">
        <w:tc>
          <w:tcPr>
            <w:tcW w:w="67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十一</w:t>
            </w:r>
          </w:p>
        </w:tc>
        <w:tc>
          <w:tcPr>
            <w:tcW w:w="4202" w:type="dxa"/>
            <w:gridSpan w:val="6"/>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1.認識天氣狀態</w:t>
            </w:r>
          </w:p>
        </w:tc>
        <w:tc>
          <w:tcPr>
            <w:tcW w:w="90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color w:val="000000"/>
                <w:sz w:val="22"/>
              </w:rPr>
              <w:t>二十二</w:t>
            </w:r>
          </w:p>
        </w:tc>
        <w:tc>
          <w:tcPr>
            <w:tcW w:w="3977" w:type="dxa"/>
            <w:gridSpan w:val="4"/>
            <w:vAlign w:val="center"/>
          </w:tcPr>
          <w:p w:rsidR="0061075C" w:rsidRDefault="00C156DC">
            <w:pPr>
              <w:pBdr>
                <w:top w:val="nil"/>
                <w:left w:val="nil"/>
                <w:bottom w:val="nil"/>
                <w:right w:val="nil"/>
                <w:between w:val="nil"/>
              </w:pBdr>
              <w:spacing w:line="240" w:lineRule="auto"/>
              <w:ind w:left="0" w:right="24" w:hanging="2"/>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61075C" w:rsidRDefault="00C156DC">
            <w:pPr>
              <w:pBdr>
                <w:top w:val="nil"/>
                <w:left w:val="nil"/>
                <w:bottom w:val="nil"/>
                <w:right w:val="nil"/>
                <w:between w:val="nil"/>
              </w:pBdr>
              <w:spacing w:line="240" w:lineRule="auto"/>
              <w:ind w:left="0" w:hanging="2"/>
              <w:jc w:val="both"/>
              <w:rPr>
                <w:rFonts w:ascii="標楷體" w:eastAsia="標楷體" w:hAnsi="標楷體" w:cs="標楷體"/>
                <w:color w:val="000000"/>
                <w:sz w:val="22"/>
              </w:rPr>
            </w:pPr>
            <w:r>
              <w:rPr>
                <w:rFonts w:ascii="標楷體" w:eastAsia="標楷體" w:hAnsi="標楷體" w:cs="標楷體"/>
                <w:color w:val="000000"/>
                <w:sz w:val="20"/>
                <w:szCs w:val="20"/>
              </w:rPr>
              <w:t>3.溶解的現象</w:t>
            </w:r>
          </w:p>
        </w:tc>
      </w:tr>
    </w:tbl>
    <w:tbl>
      <w:tblPr>
        <w:tblStyle w:val="ad"/>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
        <w:gridCol w:w="1026"/>
        <w:gridCol w:w="1382"/>
        <w:gridCol w:w="2064"/>
        <w:gridCol w:w="836"/>
        <w:gridCol w:w="1244"/>
        <w:gridCol w:w="2065"/>
        <w:gridCol w:w="706"/>
      </w:tblGrid>
      <w:tr w:rsidR="0061075C">
        <w:tc>
          <w:tcPr>
            <w:tcW w:w="531"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lastRenderedPageBreak/>
              <w:t>週次</w:t>
            </w:r>
          </w:p>
        </w:tc>
        <w:tc>
          <w:tcPr>
            <w:tcW w:w="102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起訖日期</w:t>
            </w:r>
          </w:p>
        </w:tc>
        <w:tc>
          <w:tcPr>
            <w:tcW w:w="1382"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單元名稱</w:t>
            </w:r>
          </w:p>
        </w:tc>
        <w:tc>
          <w:tcPr>
            <w:tcW w:w="2064"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學習表現</w:t>
            </w:r>
          </w:p>
        </w:tc>
        <w:tc>
          <w:tcPr>
            <w:tcW w:w="83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學習內容</w:t>
            </w:r>
          </w:p>
        </w:tc>
        <w:tc>
          <w:tcPr>
            <w:tcW w:w="1244"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學習目標</w:t>
            </w:r>
          </w:p>
        </w:tc>
        <w:tc>
          <w:tcPr>
            <w:tcW w:w="2065"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教學重點</w:t>
            </w:r>
          </w:p>
        </w:tc>
        <w:tc>
          <w:tcPr>
            <w:tcW w:w="706" w:type="dxa"/>
            <w:vAlign w:val="center"/>
          </w:tcPr>
          <w:p w:rsidR="0061075C" w:rsidRDefault="00C156DC">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評量方式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18"/>
                <w:szCs w:val="18"/>
              </w:rPr>
            </w:pPr>
            <w:r>
              <w:rPr>
                <w:rFonts w:ascii="標楷體" w:eastAsia="標楷體" w:hAnsi="標楷體" w:cs="標楷體"/>
                <w:b/>
                <w:color w:val="000000"/>
                <w:sz w:val="18"/>
                <w:szCs w:val="18"/>
              </w:rPr>
              <w:t>1</w:t>
            </w:r>
          </w:p>
        </w:tc>
        <w:tc>
          <w:tcPr>
            <w:tcW w:w="1026" w:type="dxa"/>
            <w:vAlign w:val="center"/>
          </w:tcPr>
          <w:p w:rsidR="00385744" w:rsidRDefault="00385744" w:rsidP="00385744">
            <w:pPr>
              <w:pStyle w:val="Web"/>
              <w:spacing w:before="0" w:beforeAutospacing="0" w:after="0" w:afterAutospacing="0"/>
              <w:ind w:right="57" w:hanging="2"/>
              <w:jc w:val="center"/>
            </w:pPr>
            <w:r>
              <w:rPr>
                <w:rFonts w:ascii="標楷體" w:eastAsia="標楷體" w:hAnsi="標楷體" w:hint="eastAsia"/>
                <w:color w:val="000000"/>
                <w:sz w:val="18"/>
                <w:szCs w:val="18"/>
              </w:rPr>
              <w:t>02/13~02/17</w:t>
            </w:r>
          </w:p>
        </w:tc>
        <w:tc>
          <w:tcPr>
            <w:tcW w:w="8297" w:type="dxa"/>
            <w:gridSpan w:val="6"/>
            <w:vAlign w:val="center"/>
          </w:tcPr>
          <w:p w:rsidR="00385744" w:rsidRDefault="00385744" w:rsidP="00385744">
            <w:pPr>
              <w:pBdr>
                <w:top w:val="nil"/>
                <w:left w:val="nil"/>
                <w:bottom w:val="nil"/>
                <w:right w:val="nil"/>
                <w:between w:val="nil"/>
              </w:pBdr>
              <w:spacing w:line="240" w:lineRule="auto"/>
              <w:ind w:left="0" w:hanging="2"/>
              <w:jc w:val="center"/>
              <w:rPr>
                <w:rFonts w:ascii="PMingLiu" w:eastAsia="PMingLiu" w:hAnsi="PMingLiu" w:cs="PMingLiu"/>
                <w:color w:val="000000"/>
                <w:sz w:val="20"/>
                <w:szCs w:val="20"/>
              </w:rPr>
            </w:pPr>
            <w:r>
              <w:rPr>
                <w:rFonts w:ascii="微軟正黑體" w:eastAsia="微軟正黑體" w:hAnsi="微軟正黑體" w:cs="微軟正黑體" w:hint="eastAsia"/>
                <w:color w:val="000000"/>
                <w:sz w:val="20"/>
                <w:szCs w:val="20"/>
              </w:rPr>
              <w:t>開學準備週</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2</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02/20~02/24</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一、種菜好好玩</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1.菜園裡的菜</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ti-Ⅱ-1能在指導下觀察日常生活現象的規律性，並運用想像力與好奇心，了解及描述自然環境的現象。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po-Ⅱ-1能從日常經驗、學習活動、自然環境，進而觀察，進而能察覺問題。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po-Ⅱ-2能依據觀察、蒐集資料、閱讀、思考、討論等，提出問題。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ai-Ⅱ-2透過探討自然與物質世界的規律性，感受發現的樂趣。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ah-Ⅱ-1透過各種感官了解生活週遭事物的屬性。</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an-Ⅱ-1體會科學的探索都是由問題開始。</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INa-Ⅱ-1自然界（包含生物與非生物）是由不同物質所組成。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INa-Ⅱ-6太陽是地球能量的主要來源，提供生物的生長需要，能量可以各種形式呈現。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INa-Ⅱ-7生物需要能量（養分）、陽光、空氣、水和土壤，維持生命、生長與活動。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INe-Ⅱ-1自然界的物體、生物、環境間常會相互影響。</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1.能了解蔬菜喜歡在陽光充足、空氣流通與水分充足的地方生長。</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2.能認識生物、環境、植物之間常互相影響。</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3.能了解蚯蚓如何幫助蔬菜生長。</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4.能認識菜園裡的蔬菜。</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5.能根據蔬菜的形狀、大小、顏色進行比較與分類。</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6.能依據植物的部位，發現每種蔬菜的食用部位各有不同。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7.能觀察農夫的種菜，認識種菜的歷程。</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8.能從農夫種菜的歷程，學習遷移至自身種菜。</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1.透過觀察，知道蔬菜需要養分、陽光、空氣、水和土壤等條件，才能持續生長，維持生命。</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2.透過日常生活中的觀察，發覺蔬菜的不同特性，並能依蔬菜構造分辨食用部位。</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3.透過種植蔬菜，發現自然界的生物、植物、環境之間常會互相影響。</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4.經由觀察農夫種菜流程，發現種菜的步驟。</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3</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02/27~03/03</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一、種菜好好玩</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2.照顧蔬菜</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ti-Ⅱ-1能在指導下觀察日常生活現象的規律性，並運用想像力與好奇心，了解及</w:t>
            </w:r>
            <w:r>
              <w:rPr>
                <w:rFonts w:ascii="標楷體" w:eastAsia="標楷體" w:hAnsi="標楷體" w:cs="標楷體"/>
                <w:color w:val="000000"/>
                <w:sz w:val="20"/>
                <w:szCs w:val="20"/>
              </w:rPr>
              <w:lastRenderedPageBreak/>
              <w:t>描述自然環境的現象。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po-Ⅱ-1能從日常經驗、學習活動、自然環境，進而觀察，進而能察覺問題。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po-Ⅱ-2能依據觀察、蒐集資料、閱讀、思考、討論等，提出問題。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ai-Ⅱ-2透過探討自然與物質世界的規律性，感受發現的樂趣。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ah-Ⅱ-1透過各種感官了解生活週遭事物的屬性。</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an-Ⅱ-1體會科學的探索都是由問題開始。</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INa-Ⅱ-1自然界（包含</w:t>
            </w:r>
            <w:r>
              <w:rPr>
                <w:rFonts w:ascii="標楷體" w:eastAsia="標楷體" w:hAnsi="標楷體" w:cs="標楷體"/>
                <w:color w:val="000000"/>
                <w:sz w:val="20"/>
                <w:szCs w:val="20"/>
              </w:rPr>
              <w:lastRenderedPageBreak/>
              <w:t>生物與非生物）是由不同物質所組成。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INa-Ⅱ-2在地球上，物質具有重量，占有體積。</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INa-Ⅱ-7生物需要能量（養分）、陽光、空氣、水和土壤，維持生命、生長與活動。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INd-Ⅱ-2物質或自然現象的改變情形，可以運用測量的工具和方法得知。</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INd-Ⅱ-3生物從出生、成長到死亡有一定的壽命，透過生殖繁衍下一代。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INe-Ⅱ-1自然界</w:t>
            </w:r>
            <w:r>
              <w:rPr>
                <w:rFonts w:ascii="標楷體" w:eastAsia="標楷體" w:hAnsi="標楷體" w:cs="標楷體"/>
                <w:color w:val="000000"/>
                <w:sz w:val="20"/>
                <w:szCs w:val="20"/>
              </w:rPr>
              <w:lastRenderedPageBreak/>
              <w:t>的物體、生物、環境間常會相互影響。</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INe-Ⅱ-11環境的變化會影響植物生長。</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1.能透過資料查詢，了解蔬菜種植的相關訊</w:t>
            </w:r>
            <w:r>
              <w:rPr>
                <w:rFonts w:ascii="標楷體" w:eastAsia="標楷體" w:hAnsi="標楷體" w:cs="標楷體"/>
                <w:color w:val="000000"/>
                <w:sz w:val="20"/>
                <w:szCs w:val="20"/>
              </w:rPr>
              <w:lastRenderedPageBreak/>
              <w:t>息。</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2.能透過討論，營造適合蔬菜生長的環境。</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3.能討論與製作種菜觀察紀錄表。</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4.能透過不同資料查詢途徑蒐集，了解蔬菜種植相關訊息。</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5.能閱讀種子包裝袋說明。</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6.能根據蔬菜喜歡在陽光充足、空氣流通與水分充足的地方生長的特性，選擇適合的位置種植蔬菜。</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1.能資料查詢、比較和解讀，並能由資料判斷蔬菜的種植方式、種子發芽的環</w:t>
            </w:r>
            <w:r>
              <w:rPr>
                <w:rFonts w:ascii="標楷體" w:eastAsia="標楷體" w:hAnsi="標楷體" w:cs="標楷體"/>
                <w:color w:val="000000"/>
                <w:sz w:val="20"/>
                <w:szCs w:val="20"/>
              </w:rPr>
              <w:lastRenderedPageBreak/>
              <w:t>境，並思考後續生長所需的條件及如何照顧蔬菜。</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2.發現蔬菜的生長情形，可以運用測量的工具與方法得知。</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lastRenderedPageBreak/>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lastRenderedPageBreak/>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lastRenderedPageBreak/>
              <w:t>4</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03/06~03/10</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一、種菜好好玩</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2.照顧蔬菜</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ti-Ⅱ-1能在指導下觀察日常生活現象的規律性，並運用想像力與好奇心，了解及描述自然環境的現象。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po-Ⅱ-1能從日常經驗、學習活動、自然環境，進而觀察，進而能察覺問題。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po-Ⅱ-2能依據觀察、蒐集資料、閱讀、思考、討論等，提出問題。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ai-Ⅱ-2透過探討自然與物質世界的規律性，感受發現的樂趣。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ah-Ⅱ-1透過各種感官了解生活週遭事物的屬性。</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an-Ⅱ-1體會科學的探索都是由問題開始。</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INa-Ⅱ-1自然界（包含生物與非生物）是由不同物質所組成。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INa-Ⅱ-2在地球上，物質具有重量，占有體積。</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INa-Ⅱ-7生物需要能量（養分）、陽光、空氣、水和土壤，維持生命、生長與活動。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INd-Ⅱ-2物質或自然現象的改變情形，可以運用測量的工具和</w:t>
            </w:r>
            <w:r>
              <w:rPr>
                <w:rFonts w:ascii="標楷體" w:eastAsia="標楷體" w:hAnsi="標楷體" w:cs="標楷體"/>
                <w:color w:val="000000"/>
                <w:sz w:val="20"/>
                <w:szCs w:val="20"/>
              </w:rPr>
              <w:lastRenderedPageBreak/>
              <w:t>方法得知。</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INd-Ⅱ-3生物從出生、成長到死亡有一定的壽命，透過生殖繁衍下一代。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INe-Ⅱ-1自然界的物體、生物、環境間常會相互影響。</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INe-Ⅱ-11環境的變化會影響植物生長。</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1.能根據蔬菜的種類與特性，選擇撒播與點播的方式種植。</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2.能認識花盆布置方法。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3.能透過觀察蔬菜生長過程發現蔬菜的生長歷程。</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4.能觀察到子葉與本葉的差異。</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5.能知道觀察蔬菜的葉色、葉片數目、生長高度等生長項目，並看出蔬菜生長的好壞。</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6.能自製觀察記錄表格。</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7.能認識照顧蔬菜生長可能會遭遇到問題。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8.能知道照顧蔬菜時，幫蔬菜正確澆水的方式。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9.能知道照顧蔬菜過程會遭遇蟲害，可以利用移除蟲、</w:t>
            </w:r>
            <w:r>
              <w:rPr>
                <w:rFonts w:ascii="標楷體" w:eastAsia="標楷體" w:hAnsi="標楷體" w:cs="標楷體"/>
                <w:color w:val="000000"/>
                <w:sz w:val="20"/>
                <w:szCs w:val="20"/>
              </w:rPr>
              <w:lastRenderedPageBreak/>
              <w:t>架紗網等方式解決問題。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10.能知道蔬菜長不大的原因很多，可以依不同原因，分別利用施肥、間拔、移植等方式解決問題。</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1.能資料查詢、比較和解讀，並能由資料判斷蔬菜的種植方式、種子發芽的環境，並思考後續生長所需的條件及如何照顧蔬菜。</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2.發現蔬菜的生長情形，可以運用測量的工具與方法得知。</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5</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03/13~03/17</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一、種菜好好玩</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3.蔬菜長大了</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ti-Ⅱ-1能在指導下觀察日常生活現象的規律性，並運用想像力與好奇心，了解及描述自然環境的現象。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po-Ⅱ-1能從日常經驗、學習活動、自然環境，進而觀察，進而能察覺問題。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po-Ⅱ-2能依據觀察、蒐集資料、閱讀、思考、討論等，提出問題。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w:t>
            </w:r>
            <w:r>
              <w:rPr>
                <w:rFonts w:ascii="標楷體" w:eastAsia="標楷體" w:hAnsi="標楷體" w:cs="標楷體"/>
                <w:color w:val="000000"/>
                <w:sz w:val="20"/>
                <w:szCs w:val="20"/>
              </w:rPr>
              <w:lastRenderedPageBreak/>
              <w:t>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ai-Ⅱ-2透過探討自然與物質世界的規律性，感受發現的樂趣。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ah-Ⅱ-1透過各種感官了解生活週遭事物的屬性。</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an-Ⅱ-3發覺創造和想像是科學的重要元素。</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INd-Ⅱ-3生物從出生、成長到死亡有一定的壽命，透過生殖繁衍下一代。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INe-Ⅱ-1自然界的物體、生物、環境間常會相互影響。</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INe-Ⅱ-11環境的變化會</w:t>
            </w:r>
            <w:r>
              <w:rPr>
                <w:rFonts w:ascii="標楷體" w:eastAsia="標楷體" w:hAnsi="標楷體" w:cs="標楷體"/>
                <w:color w:val="000000"/>
                <w:sz w:val="20"/>
                <w:szCs w:val="20"/>
              </w:rPr>
              <w:lastRenderedPageBreak/>
              <w:t>影</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響植物生長。</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INf-Ⅱ-2不同的環境影響人類食物的種類、來源與飲食習慣。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INf-Ⅱ-3自然的規律與變化對人類生活應用與美感的啟發。</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INg-Ⅱ-1自然環境中有許多資源。人類生存與生活需依賴自然環境中的各種資源但自然資源都是有限的，需要珍惜使用。</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1.能認識蔬菜的採收方式。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2.能發現蔬菜的一生會經歷種子、發芽、生長、開花、結果等過程。</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3.能知道蔬菜有一定的壽命，而利用種子繁衍後代達到生命延續。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4.能理解食用當地當季的食物是對地球較友善的做法。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5.能了解住在不同地區的人飲食習慣會不同。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6.能知道可以利用醃製、晒乾等方式保存食物。</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1.藉由種植蔬菜，發現蔬菜從出生到死亡有一定的壽命，而且會利用種子孕育下一代。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2.解不同環境影響人類食物的種類、來源與飲食習慣，進而了解珍惜食物的意義。</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3.由藝術與自然領域的跨領域畫作，達到色彩學認識與美感啟發。</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6</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03/20~03/24</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1.水和水蒸氣</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ti-Ⅱ-1能在指導下觀察日常生活現象的規律性，並運用想像力與好奇心，了解及描述自然環境的現象。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pe-Ⅱ-2能正確安全</w:t>
            </w:r>
            <w:r>
              <w:rPr>
                <w:rFonts w:ascii="標楷體" w:eastAsia="標楷體" w:hAnsi="標楷體" w:cs="標楷體"/>
                <w:color w:val="000000"/>
                <w:sz w:val="20"/>
                <w:szCs w:val="20"/>
              </w:rPr>
              <w:lastRenderedPageBreak/>
              <w:t>操作適合學習階段的物品、器材儀器、科技設備及資源，並能觀察和記錄。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pc-Ⅱ-2能利用簡單形式的口語、文字或圖畫等，表達探究之過程、發現。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ah-Ⅱ-1透過各種感官了解生活週遭事物的屬性。</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INa-Ⅱ-1自然界（包含生物與非生物）是由不同物質所組成。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INa-Ⅱ-4物質的</w:t>
            </w:r>
            <w:r>
              <w:rPr>
                <w:rFonts w:ascii="標楷體" w:eastAsia="標楷體" w:hAnsi="標楷體" w:cs="標楷體"/>
                <w:color w:val="000000"/>
                <w:sz w:val="20"/>
                <w:szCs w:val="20"/>
              </w:rPr>
              <w:lastRenderedPageBreak/>
              <w:t>形態會因溫度的不同而改變。</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INc-Ⅱ-6水有三態變化及毛細現象。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INd-Ⅱ-1當受外在因素作用時，物質或自然現象可能會改變。改變有些較快、有些較慢；有些可以回復，有些則不能。</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1.能認識自然界中可以看到水的地方。</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2.能了解水的各種基本特性。</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3.能觀察水的蒸發實驗，了解水在自然環境下或受熱後會蒸發變成</w:t>
            </w:r>
            <w:r>
              <w:rPr>
                <w:rFonts w:ascii="標楷體" w:eastAsia="標楷體" w:hAnsi="標楷體" w:cs="標楷體"/>
                <w:color w:val="000000"/>
                <w:sz w:val="20"/>
                <w:szCs w:val="20"/>
              </w:rPr>
              <w:lastRenderedPageBreak/>
              <w:t>水蒸氣。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4.能認識生活中水蒸發的現象。</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1.透過日常生活中的觀察，察覺水有不同形態與變化。</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2.經由觀察察覺生活中水會變成水蒸氣的現象。</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7</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03/27~03/31</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1.水和水蒸氣</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ti-Ⅱ-1能在指導下觀察日常生活現象的規律性，並運用想像力與好奇心，了解及描述自然環境的現象。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pe-Ⅱ-2能正確安全操作適合學習階段的物品、器材儀器、科技設備及資源，並能觀察和記錄。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pc-Ⅱ-2能利用簡單形式的口語、文字或圖畫等，表達探究之過程、發現。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ah-Ⅱ-1透過各種感官了解生活週遭事物的屬性。</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INa-Ⅱ-1自然界（包含生物與非生物）是由不同物質所組成。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INa-Ⅱ-4物質的形態會因溫度的不同而改變。</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INc-Ⅱ-6水有三態變化及毛細現象。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w:t>
            </w:r>
            <w:r>
              <w:rPr>
                <w:rFonts w:ascii="標楷體" w:eastAsia="標楷體" w:hAnsi="標楷體" w:cs="標楷體"/>
                <w:color w:val="000000"/>
                <w:sz w:val="20"/>
                <w:szCs w:val="20"/>
              </w:rPr>
              <w:lastRenderedPageBreak/>
              <w:t>Ⅱ-1當受外在因素作用時，物質或自然現象可能會改變。改變有些較快、有些較慢；有些可以回復，有些則不能。</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1.能操作熱水蓋上塑膠袋，模擬水蒸氣凝結的現象，了解凝結的原理。</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2.能操作裝有染色水的夾鏈袋製造凝結現象，了解夾鏈袋外的水滴是來自空氣中的水蒸氣凝結，而非袋裡流出的水。</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3.能認識生活中水蒸氣凝結的現象。</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1.透過日常生活中的觀察，察覺水有不同形態與變化。</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2.觀察與操作，察覺水蒸氣會凝結成水。</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8</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04/03~04/07</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2.水和冰</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ti-Ⅱ-1能在指導下觀察日常生活現象的規律性，並運用想像力與好奇心，了解及描述自然環境的現象。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tm-Ⅱ-1能經由觀察自然界現象之間的關係，理解簡單的概念模型，進而與其生活經驗連結。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pe-Ⅱ-2能正確安全操作適合學習階段的物品、器材儀器、科技設備及資源，並能觀察和記錄。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pc-Ⅱ-2能利用簡單形式的口語、文字或圖畫等，表達探究之過程、發現。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ai-Ⅱ-2透過探討自然與物質世界的規律性，感受發現的樂趣。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ah-Ⅱ-1透過各種感官了解生活週遭事物的屬性。</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INa-Ⅱ-1自然界（包含生物與非生物）是由不同物質所組成。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INa-Ⅱ-4物質的形態會因溫度的不同而改變。</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INa-Ⅱ-5太陽照射、物質燃燒和摩擦等可以使溫度升高，運用測量的方法可知溫度高低。</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INc-Ⅱ-2生活中常見的測量單</w:t>
            </w:r>
            <w:r>
              <w:rPr>
                <w:rFonts w:ascii="標楷體" w:eastAsia="標楷體" w:hAnsi="標楷體" w:cs="標楷體"/>
                <w:color w:val="000000"/>
                <w:sz w:val="20"/>
                <w:szCs w:val="20"/>
              </w:rPr>
              <w:lastRenderedPageBreak/>
              <w:t>位與度量。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INc-Ⅱ-6水有三態變化及毛細現象。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INd-Ⅱ-1當受外在因素作用時，物質或自然現象可能會改變。改變有些較快、有些較慢；有些可以回復，有些則不能。</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INd-Ⅱ-2物質或自然現象的改變情形可以運用測量的工具和方法得知。</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1.能觀察出水遇冷會凝固成冰。</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2.能觀察出水的形狀會隨容器形狀改變，而冰的形狀不會隨容器形狀改變。</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3.能認識生活中水凝固的現象。</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1.知道水遇冷會凝固成冰。</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2.了解溫度會造成水的三態變化。</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9</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04/10~04/14</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2.水和冰</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ti-Ⅱ-1能在指導下觀察日常生活現象的規律性，並運用想像力與好奇心，了解及描述自然環境的現象。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tm-Ⅱ-1能經由觀察自然界現象之間的關係，理解簡單的概念模型，進而與其生活經驗連結。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pe-Ⅱ-2能正確安全操作適合學習階段的物品、器材儀器、科技設備及資源，並能觀察和記錄。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pc-Ⅱ-2能利用簡單形式的口語、文字或圖畫等，表達探究之過程、發現。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ai-Ⅱ-2透過探討自然與物質世界的規律性，感受發現的樂趣。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ah-Ⅱ-1透過各種感官了解生活週遭事物的屬性。</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INa-Ⅱ-1自然界（包含生物與非生物）是由不同物質所組成。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INa-Ⅱ-4物質的形態會因溫度的不同而改</w:t>
            </w:r>
            <w:r>
              <w:rPr>
                <w:rFonts w:ascii="標楷體" w:eastAsia="標楷體" w:hAnsi="標楷體" w:cs="標楷體"/>
                <w:color w:val="000000"/>
                <w:sz w:val="20"/>
                <w:szCs w:val="20"/>
              </w:rPr>
              <w:lastRenderedPageBreak/>
              <w:t>變。</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INa-Ⅱ-5太陽照射、物質燃燒和摩擦等可以使溫度升高，運用測量的方法可知溫度高低。</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INc-Ⅱ-2生活中常見的測量單位與度量。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INc-Ⅱ-6水有三態變化及毛細現象。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INd-Ⅱ-1當受外在因素作用時，物質或自然現象可能會改變。改變有些較快、有些較慢；有些可以回復，有些則不能。</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INd-Ⅱ-2物質或自然現象的改變情形可以運用測量</w:t>
            </w:r>
            <w:r>
              <w:rPr>
                <w:rFonts w:ascii="標楷體" w:eastAsia="標楷體" w:hAnsi="標楷體" w:cs="標楷體"/>
                <w:color w:val="000000"/>
                <w:sz w:val="20"/>
                <w:szCs w:val="20"/>
              </w:rPr>
              <w:lastRenderedPageBreak/>
              <w:t>的工具和方法得知。</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1.能觀察在盤中及水杯中的冰，發覺遇熱會融化變成水。</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2.能知道溫度計的使用方式，並實際測量水溫的變化。</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3.能歸納出水的變化，知道溫度的不同，會讓水產生三態的循環變化。</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1.透過實驗活動了解冰遇熱會融化成水。</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2.了解溫度會造成水的三態變化。</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lastRenderedPageBreak/>
              <w:t>10</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04/17~04/21</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二、水的三態</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3.水的應用</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ti-Ⅱ-1能在指導下觀察日常生活現象的規律性，並運用想像力與好奇心，了解及描述自然環境的現象。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INa-Ⅱ-1自然界（包含生物與非生物）是由不同物質所組成。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INa-Ⅱ-4物質的形態會因溫度的不同而改變。</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INc-Ⅱ-5水和空氣可以傳送動力讓物體移動。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INe-Ⅱ-2溫度會影響物質在水中溶解的程度(定性)及物質燃燒、生鏽、發酵等現象。</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1.認識生活中水蒸氣、水和冰的應用，讓生活更便利。</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2.認識水能當作動力來源。</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◆找出日常生活中水蒸氣、水和冰的用途。</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11</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04/24-04/28</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1.認識天氣狀態</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tm-Ⅱ-1能經由觀察自然界現象之間的關係，理解簡單的概念模型，進而與其生活經驗連結。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pc-Ⅱ-1能專注聆聽同學報告，提出疑問或意見。並能對探究方法、過程或結果，進行檢討。</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INc-Ⅱ-2生活中常見的測量單位與度量。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INd-Ⅱ-6一年四季氣溫會有所變化，</w:t>
            </w:r>
            <w:r>
              <w:rPr>
                <w:rFonts w:ascii="標楷體" w:eastAsia="標楷體" w:hAnsi="標楷體" w:cs="標楷體"/>
                <w:color w:val="000000"/>
                <w:sz w:val="20"/>
                <w:szCs w:val="20"/>
              </w:rPr>
              <w:lastRenderedPageBreak/>
              <w:t>天氣也會有所不同。氣象報告可以讓我們知道天氣的可能變化。</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INd-Ⅱ-7天氣預報常用雨量、溫度、風向、風速等資料來表達天氣狀態，這些資料可以使用適當儀器測得。</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1.能認識查詢天氣預報的方式，並實際運用來查詢。</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2.能了解並判讀天氣預報的訊息所代表的意義。</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1.認識各種查詢天氣預報的方法，並了解提前知道天氣狀態的對生活有哪些好處。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2.認識天氣預報資料所代表的涵義，並學習如何讀取天氣預報的資訊。</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12</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05/01~05/05</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2.小小氣象員</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tm-Ⅱ-1能經由觀察自然界現象之間的關係，理解簡單的概念模型，進而與其生活經驗連結。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pe-Ⅱ-2能正確安全操作適合學習階段的物品、器材儀器、科技設備及資源並能觀察和記錄。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pa-Ⅱ-2能從得到的資訊或數據，形成解釋、得到解答、解決問題。並能將自己的探究結果和他人的結果（例如：來自老師）相比較，檢查是否相近。</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pc-Ⅱ-1能專注聆聽同學報告，提出疑問或意見。並能對探究方法、過程或結果，</w:t>
            </w:r>
            <w:r>
              <w:rPr>
                <w:rFonts w:ascii="標楷體" w:eastAsia="標楷體" w:hAnsi="標楷體" w:cs="標楷體"/>
                <w:color w:val="000000"/>
                <w:sz w:val="20"/>
                <w:szCs w:val="20"/>
              </w:rPr>
              <w:lastRenderedPageBreak/>
              <w:t>進行檢討。</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INc-Ⅱ-1使用工具或自訂參考標準可量度或比較。</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INc-Ⅱ-2生活中常見的測量單位與度量。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INd-Ⅱ-7天氣預報常用雨量、溫度、風向、風速等資料來表達天氣狀態，這些資料</w:t>
            </w:r>
            <w:r>
              <w:rPr>
                <w:rFonts w:ascii="標楷體" w:eastAsia="標楷體" w:hAnsi="標楷體" w:cs="標楷體"/>
                <w:color w:val="000000"/>
                <w:sz w:val="20"/>
                <w:szCs w:val="20"/>
              </w:rPr>
              <w:lastRenderedPageBreak/>
              <w:t>可以使用適當儀器測得。</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◆能認識天氣狀態和雲的關係。</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◆透過討論和觀察，推論天氣的變化與雲量的關係。</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13</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05/08~05/12</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2.小小氣象員</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tm-Ⅱ-1能經由觀察自然界現象之間的關係，理解簡單的概念模型，進而與其生活經驗連結。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pe-Ⅱ-2能正確安全操作適合學習階段的物品、器材儀器、科技設備及資源並能觀察和記錄。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pa-Ⅱ-2能從得到的資訊或數據，形成解釋、得到解答、解決問題。並能將自己的探究結果和他人的結果（例如：來自老師）相比較，檢查是否相近。</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pc-Ⅱ-1能專注聆聽同學報告，提出疑問或意見。並能對探究方法、過程或結果，進行檢討。</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INc-Ⅱ-1使用工具或自訂參考標準可量度或比較。</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INc-Ⅱ-2生活中常見的測量單位與度量。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INd-Ⅱ-7天氣預報常用雨量、溫度、風向、風速等資料來表達天氣狀態，這些資料可以使用適當儀器測得。</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1.能學習使用氣溫計的正確方法。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2.能實際測量與觀察一天的氣溫變化。</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3.能透過實際新聞案例，了解雨量在活中的重要性。</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4.能認識雨量的單位，並知道測量雨量的方法。</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1.知道氣溫計正確的使用方法，並實際測量與觀察一天的氣溫變化。</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2.透過常見的下雨、淹水等相關新聞報導，能夠認識測量雨量的方法，並了解雨量觀測在活中的重要性。</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14</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05/15~05/19</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2.小小氣象員</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tm-Ⅱ-1能經由觀察自然界現象之間的關係，理解簡單的概念模型，進而與其生活經驗連結。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pe-Ⅱ-2能正確安全操作適合學習階段的物品、器材儀器、科技設備及資源並能觀察和記錄。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pa-Ⅱ-2能從得到的</w:t>
            </w:r>
            <w:r>
              <w:rPr>
                <w:rFonts w:ascii="標楷體" w:eastAsia="標楷體" w:hAnsi="標楷體" w:cs="標楷體"/>
                <w:color w:val="000000"/>
                <w:sz w:val="20"/>
                <w:szCs w:val="20"/>
              </w:rPr>
              <w:lastRenderedPageBreak/>
              <w:t>資訊或數據，形成解釋、得到解答、解決問題。並能將自己的探究結果和他人的結果（例如：來自老師）相比較，檢查是否相近。</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pc-Ⅱ-1能專注聆聽同學報告，提出疑問或意見。並能對探究方法、過程或結果，進行檢討。</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INc-Ⅱ-1使用工具或自訂參考標準可量度或比較。</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INc-Ⅱ-2生活中常見的測量單位與度量。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INd-Ⅱ-7</w:t>
            </w:r>
            <w:r>
              <w:rPr>
                <w:rFonts w:ascii="標楷體" w:eastAsia="標楷體" w:hAnsi="標楷體" w:cs="標楷體"/>
                <w:color w:val="000000"/>
                <w:sz w:val="20"/>
                <w:szCs w:val="20"/>
              </w:rPr>
              <w:lastRenderedPageBreak/>
              <w:t>天氣預報常用雨量、溫度、風向、風速等資料來表達天氣狀態，這些資料可以使用適當儀器測得。</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1.能透過實際新聞案例，了解風向和風力在活中的重要性。</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2.能學會利用指北針確認方位。</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3.能透過自製簡易風向風力計，實際觀測風向和風力。</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1.透過風向袋使用於工地的相關新聞報導，知道風向與風力在生活中的重要性。</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2.學習使用指北針確認方位，並透過自製簡易風向風力計實際觀測風向和風力。</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15</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05/22~05/26</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三、認識天氣</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3.天氣與生活</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tm-Ⅱ-1能經由觀察自然界現象之間的關係，理解簡單的概念模型，進而與其生活經驗連結。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ai-Ⅱ-2透過探討自然與物質世界的規律性，感受發現的樂趣。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INa-Ⅱ-5太陽照射、物質燃燒和摩擦等可以使溫度升高，運用測量的方法可知溫度高低。</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INd-Ⅱ-6一年四季氣溫會有所變化，天氣也會有所不同。氣象報告可以讓我們知道天氣的可能變化。</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INe-Ⅱ-10天氣預報常用雨量、溫度、風向、風速等資料來</w:t>
            </w:r>
            <w:r>
              <w:rPr>
                <w:rFonts w:ascii="標楷體" w:eastAsia="標楷體" w:hAnsi="標楷體" w:cs="標楷體"/>
                <w:color w:val="000000"/>
                <w:sz w:val="20"/>
                <w:szCs w:val="20"/>
              </w:rPr>
              <w:lastRenderedPageBreak/>
              <w:t>表達天氣狀態，這些資料可以使用適當儀器測得。</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INf-Ⅱ-4動物的感覺器官接受刺激會引起生理和行為反應。</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INg-Ⅱ-2地球資源永續可結合日常生活中低碳與節水方法做起。</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1.能認識不同天氣預報的種類及用途。</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2.能了解天氣變化對生活的影響及預防與應變的辦法。</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1.認識生活中常見的天氣預報種類，知道不同種類的天氣預報用途。</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2.了解天氣變化對我們生活的影響，知道該如何預防及面對各種天氣狀態。</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16</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05/29~06/02</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1.辨認調味品</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po-Ⅱ-1能從日常經驗、學習活動、自然環境，進而觀察，進而能察覺問題。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pa-Ⅱ-1能運用簡單分類、製作圖表等方法，整理已有的資訊或數據。</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pc-Ⅱ-1能專注聆聽同學報告，提出疑問或意見。並能對探究方法、過程或結果，進行檢討。</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ah-Ⅱ-1透過各種感官了解生活周遭事物的屬性。</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an-Ⅱ-1體會科學的探索都是由問題開</w:t>
            </w:r>
            <w:r>
              <w:rPr>
                <w:rFonts w:ascii="標楷體" w:eastAsia="標楷體" w:hAnsi="標楷體" w:cs="標楷體"/>
                <w:color w:val="000000"/>
                <w:sz w:val="20"/>
                <w:szCs w:val="20"/>
              </w:rPr>
              <w:lastRenderedPageBreak/>
              <w:t>始。</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INb-Ⅱ-2物質性質上的差異性可用來區分或分離物質。</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INe-Ⅱ-4常見食物的酸鹼性有時可利用氣味、觸覺、味覺簡單區分，花卉、菜葉會因接觸到酸鹼而改變顏色。</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◆能運用嗅覺、觸覺、味覺和視覺簡單區分常見食物。</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◆運用嗅覺、觸覺、味覺和視覺，簡單區分常見食物。</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17</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06/05~06/09</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2.菜汁變色了</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po-Ⅱ-1能從日常經驗、學習活動、自然環境，進而觀察，進而能察覺問題。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po-Ⅱ-2能依據觀察、蒐集資料、閱讀、思考、討論等，提出問題。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pe-Ⅱ-2能正確安全操作適合學習階段的物品、器材儀器、科技設備與資源並能觀測和紀錄。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pc-Ⅱ-1能專注聆聽同學報告，提出疑問或意見。並能對探究方法、過程或結果，進行檢討。</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ai-Ⅱ-2透過探討自然與物質世界的規律性，感受發現的樂趣。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an-Ⅱ-1體會科學的探索都是由問題開始。</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INe-Ⅱ-4常見食物的酸鹼性有時可利用氣味、觸覺、味覺簡單區分，花卉、菜葉會因接觸到酸鹼而改變顏色。</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◆能透過觀察在紅鳳菜汁、蝶豆花茶等汁液中加入其他物質所產生的顏色變化，察覺物質會因接觸不同環境而改變。</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◆藉由觀察紅鳳菜等汁液接觸到酸鹼液體而變色，察覺物質會因接觸不同環境而改變。</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18</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06/12~06/16</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3.溶解的現象</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tm-Ⅱ-1能經由觀察自然界現象之間的關係，理解簡單的概念模型，進而與其生活經驗連結。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w:t>
            </w:r>
            <w:r>
              <w:rPr>
                <w:rFonts w:ascii="標楷體" w:eastAsia="標楷體" w:hAnsi="標楷體" w:cs="標楷體"/>
                <w:color w:val="000000"/>
                <w:sz w:val="20"/>
                <w:szCs w:val="20"/>
              </w:rPr>
              <w:lastRenderedPageBreak/>
              <w:t>環境，進而觀察，進而能察覺問題。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po-Ⅱ-2能依據觀察、蒐集資料、閱讀、思考、討論等，提出問題。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pe-Ⅱ-1能了解一個因素改變可能造成的影響，進而預測活動的大致結果。在教師或教科書的指導或說明下，能了解探究的計畫。</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pe-Ⅱ-2能正確安全操作適合學習階段的物品、器材儀器、科技設備與資源並能觀測和紀錄。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pa-Ⅱ-1能運用簡單分類、製作圖表等方法，整理已有的資訊或數據。</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pa-Ⅱ-2能從得到的資訊或數據，形成解釋、得到解答、解決問題。並能將自己的探究結果和他人的結果（例如：來自老師）相比較，檢查是否相近。</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pc-Ⅱ-1能專注聆聽同學報告，提出疑問或意見。並能對探究方法、過程或結果，進行檢討。</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pc-Ⅱ-2能利用簡單形式的口語、文字或圖畫等，表達探究之過程、發現。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ai-Ⅱ-2透過探討自然與物質世界的規律性，感受發現的樂趣。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an-Ⅱ-1體會科學的探索都是由問題開始。</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INa-Ⅱ-2在地球上，物質具有重量，佔有體積。</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INa-Ⅱ-3物質各有其特性，並可以依其特性與用途</w:t>
            </w:r>
            <w:r>
              <w:rPr>
                <w:rFonts w:ascii="標楷體" w:eastAsia="標楷體" w:hAnsi="標楷體" w:cs="標楷體"/>
                <w:color w:val="000000"/>
                <w:sz w:val="20"/>
                <w:szCs w:val="20"/>
              </w:rPr>
              <w:lastRenderedPageBreak/>
              <w:t>進行分類。</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INb-Ⅱ-2物質性質上的差異性可用來區分或分離物質。</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INc-Ⅱ-2生活中常見的測量單位與度量。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INe-Ⅱ-2溫度會影響物質在水中溶解的程度（定性）及物質燃燒、生鏽、發酵等現象。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INe-Ⅱ-3有些物質溶於水中，有些物質不容易溶於水中。</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1.能透過日常生活中的觀察，探究溶解的意義。</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2.能經由觀察與操作，察覺有些物質會溶於水，有些不會溶於水。</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1.透過日常生活中的觀察，探究溶解的意義。</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2.經由觀察與操作，察覺有些物質會溶於水，有些不會溶於水。</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lastRenderedPageBreak/>
              <w:t>19</w:t>
            </w:r>
          </w:p>
        </w:tc>
        <w:tc>
          <w:tcPr>
            <w:tcW w:w="1026" w:type="dxa"/>
            <w:vAlign w:val="center"/>
          </w:tcPr>
          <w:p w:rsidR="00385744" w:rsidRDefault="00385744" w:rsidP="00385744">
            <w:pPr>
              <w:pStyle w:val="Web"/>
              <w:spacing w:before="0" w:beforeAutospacing="0" w:after="0" w:afterAutospacing="0"/>
              <w:ind w:right="57"/>
              <w:jc w:val="center"/>
            </w:pPr>
            <w:r>
              <w:rPr>
                <w:rFonts w:ascii="標楷體" w:eastAsia="標楷體" w:hAnsi="標楷體" w:hint="eastAsia"/>
                <w:color w:val="000000"/>
                <w:sz w:val="18"/>
                <w:szCs w:val="18"/>
              </w:rPr>
              <w:t>06/19~06/23</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3.溶解的現象</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tm-Ⅱ-1能經由觀察自然界現象之間的關係，理解簡單的概念模型，進而與其生活經驗連結。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po-Ⅱ-1能從日常經驗、學習活動、自然環境，進而觀察，進而能察覺問題。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po-Ⅱ-2能依據觀察、蒐集資料、閱讀、思考、討論等，提出問題。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pe-Ⅱ-1能了解一個因素改變可能造成的影響，進而預測活動的大致結果。在教師或教科書的指導或說明下，能了解探究的計畫。</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pe-Ⅱ-2能正確安全操作適合學習階段的物品、器材儀器、科技設備與資源並能觀測和紀錄。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pa-Ⅱ-1能運用簡單分類、製作圖表等方法，整理已有的資訊或數據。</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pa-Ⅱ-2能從得到的資訊或數據，形成解釋、得到解答、解決問題。並能將自己的探究結果和他人的結果（例如：來自老師）相比較，檢查是否相近。</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pc-Ⅱ-1能專注聆聽同學報告，提出疑問或意見。並能對探究方法、過程或結果，進行檢討。</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pc-Ⅱ-2能利用簡單形式的口語、文字或圖畫等，表達探究之過程、發現。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ai-Ⅱ-2透過探討自然與物質世界的規律性，感受發現的樂趣。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an-Ⅱ-1體會科學的探索都是由問題開始。</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INa-Ⅱ-2在地球上，物質具有重量，佔有體積。</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INa-Ⅱ-3物質各有其特性，並可以依其特性與用途進行分類。</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INb-Ⅱ-2物質性質上的差異性可用來區分或分離物質。</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INc-Ⅱ-2生活中常見的測量單位與度量。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INe-Ⅱ-2溫度會影響物質在水中溶解的程度（定性）及物質燃燒、生鏽、發酵等現象。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INe-Ⅱ-3有些物質溶於水中，有些物質不容</w:t>
            </w:r>
            <w:r>
              <w:rPr>
                <w:rFonts w:ascii="標楷體" w:eastAsia="標楷體" w:hAnsi="標楷體" w:cs="標楷體"/>
                <w:color w:val="000000"/>
                <w:sz w:val="20"/>
                <w:szCs w:val="20"/>
              </w:rPr>
              <w:lastRenderedPageBreak/>
              <w:t>易溶於水中。</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◆能經由操作活動知道食鹽可以溶解的量是有限的。</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◆經由操作活動知道食鹽可以溶解的量是有限的。</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r w:rsidR="00385744">
        <w:tc>
          <w:tcPr>
            <w:tcW w:w="531" w:type="dxa"/>
            <w:vAlign w:val="center"/>
          </w:tcPr>
          <w:p w:rsidR="00385744" w:rsidRDefault="00385744" w:rsidP="00385744">
            <w:pPr>
              <w:pBdr>
                <w:top w:val="nil"/>
                <w:left w:val="nil"/>
                <w:bottom w:val="nil"/>
                <w:right w:val="nil"/>
                <w:between w:val="nil"/>
              </w:pBdr>
              <w:spacing w:line="240" w:lineRule="auto"/>
              <w:ind w:left="0" w:hanging="2"/>
              <w:jc w:val="center"/>
              <w:rPr>
                <w:rFonts w:ascii="標楷體" w:eastAsia="標楷體" w:hAnsi="標楷體" w:cs="標楷體"/>
                <w:color w:val="000000"/>
                <w:sz w:val="22"/>
              </w:rPr>
            </w:pPr>
            <w:r>
              <w:rPr>
                <w:rFonts w:ascii="標楷體" w:eastAsia="標楷體" w:hAnsi="標楷體" w:cs="標楷體"/>
                <w:b/>
                <w:color w:val="000000"/>
                <w:sz w:val="22"/>
              </w:rPr>
              <w:t>20</w:t>
            </w:r>
          </w:p>
        </w:tc>
        <w:tc>
          <w:tcPr>
            <w:tcW w:w="1026" w:type="dxa"/>
            <w:vAlign w:val="center"/>
          </w:tcPr>
          <w:p w:rsidR="00385744" w:rsidRDefault="00385744" w:rsidP="00385744">
            <w:pPr>
              <w:pStyle w:val="Web"/>
              <w:spacing w:before="0" w:beforeAutospacing="0" w:after="0" w:afterAutospacing="0"/>
              <w:ind w:right="57" w:hanging="2"/>
              <w:jc w:val="center"/>
            </w:pPr>
            <w:r>
              <w:rPr>
                <w:rFonts w:ascii="標楷體" w:eastAsia="標楷體" w:hAnsi="標楷體" w:hint="eastAsia"/>
                <w:color w:val="000000"/>
                <w:sz w:val="18"/>
                <w:szCs w:val="18"/>
              </w:rPr>
              <w:t>06/26~6/30</w:t>
            </w:r>
          </w:p>
        </w:tc>
        <w:tc>
          <w:tcPr>
            <w:tcW w:w="1382" w:type="dxa"/>
            <w:vAlign w:val="center"/>
          </w:tcPr>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四、廚房中的科學</w:t>
            </w:r>
          </w:p>
          <w:p w:rsidR="00385744" w:rsidRDefault="00385744" w:rsidP="00385744">
            <w:pPr>
              <w:pBdr>
                <w:top w:val="nil"/>
                <w:left w:val="nil"/>
                <w:bottom w:val="nil"/>
                <w:right w:val="nil"/>
                <w:between w:val="nil"/>
              </w:pBdr>
              <w:spacing w:line="240" w:lineRule="auto"/>
              <w:ind w:left="0" w:right="24"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3.溶解的現象</w:t>
            </w:r>
          </w:p>
        </w:tc>
        <w:tc>
          <w:tcPr>
            <w:tcW w:w="206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tr-Ⅱ-1能知道觀察、記錄所得自然現象的的結果是有其原因的，並依據習得的知識，說明自己的想法。</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tc-Ⅱ-1能簡單分辨或分類所觀察到的自然科學現象。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tm-Ⅱ-1能經由觀察自然界現象之間的關係，理解簡單的概念模型，進而與其生活經驗連結。</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po-Ⅱ-1能從日常經驗、學習活動、自然環境，進而觀察，進而能察覺問題。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po-Ⅱ-2能依據觀察、蒐集資料、閱讀、思考、討論等，提出問題。</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pe-Ⅱ-1能了解一個因素改變可能造成的影響，進而預測活動的大致結果。在教師或教科書的指導或說明下，能了解探究的計畫。</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pe-Ⅱ-2能正確安全操作適合學習階段的物品、器材儀器、科技設備與資源並能觀測和紀錄。</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pa-Ⅱ-1能運用簡單分類、製作圖表等方法，整理已有的資訊或數據。</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pa-Ⅱ-2能從得到的資訊或數據，形成解</w:t>
            </w:r>
            <w:r>
              <w:rPr>
                <w:rFonts w:ascii="標楷體" w:eastAsia="標楷體" w:hAnsi="標楷體" w:cs="標楷體"/>
                <w:color w:val="000000"/>
                <w:sz w:val="20"/>
                <w:szCs w:val="20"/>
              </w:rPr>
              <w:lastRenderedPageBreak/>
              <w:t>釋、得到解答、解決問題。並能將自己的探究結果和他人的結果（例如：來自老師）相比較，檢查是否相近。</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pc-Ⅱ-1能專注聆聽同學報告，提出疑問或意見。並能對探究方法、過程或結果，進行檢討。</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pc-Ⅱ-2能利用簡單形式的口語、文字或圖畫等，表達探究之過程、發現。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ai-Ⅱ-1保持對自然現象的好奇心，透過不斷的探尋和提問，常會有新發現。</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ai-Ⅱ-2透過探討自然與物質世界的規律性，感受發現的樂趣。</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an-Ⅱ-1體會科學的探索都是由問題開始。</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ah-Ⅱ-2透過有系統的分類與表達方式，與他人溝通自己的想法與發現。</w:t>
            </w:r>
          </w:p>
        </w:tc>
        <w:tc>
          <w:tcPr>
            <w:tcW w:w="83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INa-Ⅱ-2在地球上，物質具有重量，佔有體積。</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INa-Ⅱ-3物質各有其特性，並可以依其特性與用途進行分類。</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INb-Ⅱ-2物質性質上的差異性可用來區分或分離物質。</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INc-Ⅱ-2生活中常見的測量單位與度量。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INe-Ⅱ-2溫度會影響物質在水中溶解</w:t>
            </w:r>
            <w:r>
              <w:rPr>
                <w:rFonts w:ascii="標楷體" w:eastAsia="標楷體" w:hAnsi="標楷體" w:cs="標楷體"/>
                <w:color w:val="000000"/>
                <w:sz w:val="20"/>
                <w:szCs w:val="20"/>
              </w:rPr>
              <w:lastRenderedPageBreak/>
              <w:t>的程度（定性）及物質燃燒、生鏽、發酵等現象。</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INe-Ⅱ-3有些物質溶於水中，有些物質不容易溶於水中。</w:t>
            </w:r>
          </w:p>
        </w:tc>
        <w:tc>
          <w:tcPr>
            <w:tcW w:w="1244"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◆能透過觀察與實驗，察覺提高水溫、增加水量會影響食鹽可以溶解的量。</w:t>
            </w:r>
          </w:p>
        </w:tc>
        <w:tc>
          <w:tcPr>
            <w:tcW w:w="2065"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◆透過觀察與實驗，發覺提高水溫、增加水量會影響食鹽可以溶解的量。</w:t>
            </w:r>
          </w:p>
        </w:tc>
        <w:tc>
          <w:tcPr>
            <w:tcW w:w="706" w:type="dxa"/>
          </w:tcPr>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觀察評量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實作評量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發表評量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口語評量</w:t>
            </w:r>
          </w:p>
          <w:p w:rsidR="00385744" w:rsidRDefault="00385744" w:rsidP="00385744">
            <w:pPr>
              <w:pBdr>
                <w:top w:val="nil"/>
                <w:left w:val="nil"/>
                <w:bottom w:val="nil"/>
                <w:right w:val="nil"/>
                <w:between w:val="nil"/>
              </w:pBdr>
              <w:spacing w:line="240" w:lineRule="auto"/>
              <w:ind w:left="0" w:hanging="2"/>
              <w:rPr>
                <w:rFonts w:ascii="標楷體" w:eastAsia="標楷體" w:hAnsi="標楷體" w:cs="標楷體"/>
                <w:color w:val="000000"/>
                <w:sz w:val="18"/>
                <w:szCs w:val="18"/>
              </w:rPr>
            </w:pPr>
            <w:r>
              <w:rPr>
                <w:rFonts w:ascii="標楷體" w:eastAsia="標楷體" w:hAnsi="標楷體" w:cs="標楷體"/>
                <w:color w:val="000000"/>
                <w:sz w:val="18"/>
                <w:szCs w:val="18"/>
              </w:rPr>
              <w:t>態度評量</w:t>
            </w:r>
          </w:p>
        </w:tc>
      </w:tr>
    </w:tbl>
    <w:p w:rsidR="0061075C" w:rsidRDefault="0061075C">
      <w:pPr>
        <w:pBdr>
          <w:top w:val="nil"/>
          <w:left w:val="nil"/>
          <w:bottom w:val="nil"/>
          <w:right w:val="nil"/>
          <w:between w:val="nil"/>
        </w:pBdr>
        <w:spacing w:line="240" w:lineRule="auto"/>
        <w:ind w:left="0" w:hanging="2"/>
        <w:rPr>
          <w:color w:val="000000"/>
          <w:szCs w:val="24"/>
        </w:rPr>
      </w:pPr>
    </w:p>
    <w:sectPr w:rsidR="0061075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CA5" w:rsidRDefault="00095CA5" w:rsidP="001E79A2">
      <w:pPr>
        <w:spacing w:line="240" w:lineRule="auto"/>
        <w:ind w:left="0" w:hanging="2"/>
      </w:pPr>
      <w:r>
        <w:separator/>
      </w:r>
    </w:p>
  </w:endnote>
  <w:endnote w:type="continuationSeparator" w:id="0">
    <w:p w:rsidR="00095CA5" w:rsidRDefault="00095CA5" w:rsidP="001E79A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Mono CJK JP Regular">
    <w:panose1 w:val="00000000000000000000"/>
    <w:charset w:val="00"/>
    <w:family w:val="roman"/>
    <w:notTrueType/>
    <w:pitch w:val="default"/>
  </w:font>
  <w:font w:name="FU-BZ">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標楷體">
    <w:altName w:val="微軟正黑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PMingLiu">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A2" w:rsidRDefault="001E79A2">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A2" w:rsidRDefault="001E79A2">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A2" w:rsidRDefault="001E79A2">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CA5" w:rsidRDefault="00095CA5" w:rsidP="001E79A2">
      <w:pPr>
        <w:spacing w:line="240" w:lineRule="auto"/>
        <w:ind w:left="0" w:hanging="2"/>
      </w:pPr>
      <w:r>
        <w:separator/>
      </w:r>
    </w:p>
  </w:footnote>
  <w:footnote w:type="continuationSeparator" w:id="0">
    <w:p w:rsidR="00095CA5" w:rsidRDefault="00095CA5" w:rsidP="001E79A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A2" w:rsidRDefault="001E79A2">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A2" w:rsidRDefault="001E79A2">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A2" w:rsidRDefault="001E79A2">
    <w:pPr>
      <w:pStyle w:val="a5"/>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75C"/>
    <w:rsid w:val="00054D55"/>
    <w:rsid w:val="00095CA5"/>
    <w:rsid w:val="001E79A2"/>
    <w:rsid w:val="00385744"/>
    <w:rsid w:val="0061075C"/>
    <w:rsid w:val="00797BA1"/>
    <w:rsid w:val="00A04337"/>
    <w:rsid w:val="00C156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FADF9D"/>
  <w15:docId w15:val="{F75C0362-ED98-45FE-B0D3-8E0ACB3F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2"/>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pPr>
      <w:ind w:leftChars="200" w:left="480"/>
    </w:pPr>
  </w:style>
  <w:style w:type="paragraph" w:styleId="a5">
    <w:name w:val="header"/>
    <w:basedOn w:val="a"/>
    <w:qFormat/>
    <w:pPr>
      <w:tabs>
        <w:tab w:val="center" w:pos="4153"/>
        <w:tab w:val="right" w:pos="8306"/>
      </w:tabs>
    </w:pPr>
    <w:rPr>
      <w:sz w:val="20"/>
      <w:szCs w:val="20"/>
    </w:rPr>
  </w:style>
  <w:style w:type="character" w:customStyle="1" w:styleId="a6">
    <w:name w:val="頁首 字元"/>
    <w:rPr>
      <w:w w:val="100"/>
      <w:kern w:val="2"/>
      <w:position w:val="-1"/>
      <w:effect w:val="none"/>
      <w:vertAlign w:val="baseline"/>
      <w:cs w:val="0"/>
      <w:em w:val="none"/>
    </w:rPr>
  </w:style>
  <w:style w:type="paragraph" w:styleId="a7">
    <w:name w:val="footer"/>
    <w:basedOn w:val="a"/>
    <w:qFormat/>
    <w:pPr>
      <w:tabs>
        <w:tab w:val="center" w:pos="4153"/>
        <w:tab w:val="right" w:pos="8306"/>
      </w:tabs>
    </w:pPr>
    <w:rPr>
      <w:sz w:val="20"/>
      <w:szCs w:val="20"/>
    </w:rPr>
  </w:style>
  <w:style w:type="character" w:customStyle="1" w:styleId="a8">
    <w:name w:val="頁尾 字元"/>
    <w:rPr>
      <w:w w:val="100"/>
      <w:kern w:val="2"/>
      <w:position w:val="-1"/>
      <w:effect w:val="none"/>
      <w:vertAlign w:val="baseline"/>
      <w:cs w:val="0"/>
      <w:em w:val="none"/>
    </w:rPr>
  </w:style>
  <w:style w:type="paragraph" w:customStyle="1" w:styleId="TableParagraph">
    <w:name w:val="Table Paragraph"/>
    <w:basedOn w:val="a"/>
    <w:pPr>
      <w:autoSpaceDE w:val="0"/>
      <w:autoSpaceDN w:val="0"/>
    </w:pPr>
    <w:rPr>
      <w:rFonts w:ascii="Noto Sans Mono CJK JP Regular" w:eastAsia="Noto Sans Mono CJK JP Regular" w:hAnsi="Noto Sans Mono CJK JP Regular" w:cs="Noto Sans Mono CJK JP Regular"/>
      <w:kern w:val="0"/>
      <w:sz w:val="22"/>
      <w:lang w:val="zh-TW" w:bidi="zh-TW"/>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FU-BZ" w:eastAsia="FU-BZ" w:hAnsi="Times New Roman" w:cs="FU-BZ"/>
      <w:color w:val="000000"/>
      <w:position w:val="-1"/>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paragraph" w:styleId="Web">
    <w:name w:val="Normal (Web)"/>
    <w:basedOn w:val="a"/>
    <w:uiPriority w:val="99"/>
    <w:semiHidden/>
    <w:unhideWhenUsed/>
    <w:rsid w:val="00385744"/>
    <w:pPr>
      <w:widowControl/>
      <w:suppressAutoHyphens w:val="0"/>
      <w:spacing w:before="100" w:beforeAutospacing="1" w:after="100" w:afterAutospacing="1" w:line="240" w:lineRule="auto"/>
      <w:ind w:leftChars="0" w:left="0" w:firstLineChars="0" w:firstLine="0"/>
      <w:textDirection w:val="lrTb"/>
      <w:textAlignment w:val="auto"/>
      <w:outlineLvl w:val="9"/>
    </w:pPr>
    <w:rPr>
      <w:rFonts w:ascii="新細明體" w:eastAsia="新細明體" w:hAnsi="新細明體" w:cs="新細明體"/>
      <w:kern w:val="0"/>
      <w:positio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Rr8NUAD8CI7Sgw8vWuCXWiwhBg==">AMUW2mUanqQv+60LGkk4rr/6HQyABsgW2cgXtgJJa11puTGKK0sWxdSItBjY1RMZ8xRSXKXdSEkW/eDdSliJIf1xUYd3K+sWlqjaoSJIh4BpwTfs8+OU5U0=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4334</Words>
  <Characters>24704</Characters>
  <Application>Microsoft Office Word</Application>
  <DocSecurity>0</DocSecurity>
  <Lines>205</Lines>
  <Paragraphs>57</Paragraphs>
  <ScaleCrop>false</ScaleCrop>
  <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2022-06-30T15:44:00Z</dcterms:created>
  <dcterms:modified xsi:type="dcterms:W3CDTF">2022-07-01T00:14:00Z</dcterms:modified>
</cp:coreProperties>
</file>