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AE2" w:rsidRDefault="009D70FA">
      <w:pPr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</w:rPr>
        <w:t>《彈性課程</w:t>
      </w:r>
      <w:r>
        <w:rPr>
          <w:rFonts w:ascii="標楷體" w:eastAsia="標楷體" w:hAnsi="標楷體" w:cs="標楷體"/>
          <w:sz w:val="28"/>
          <w:szCs w:val="28"/>
        </w:rPr>
        <w:t>—</w:t>
      </w:r>
      <w:r>
        <w:rPr>
          <w:rFonts w:ascii="標楷體" w:eastAsia="標楷體" w:hAnsi="標楷體" w:cs="標楷體"/>
          <w:sz w:val="28"/>
          <w:szCs w:val="28"/>
        </w:rPr>
        <w:t>六下探索教育》</w:t>
      </w:r>
    </w:p>
    <w:p w:rsidR="00BF7AE2" w:rsidRDefault="009D70FA">
      <w:pPr>
        <w:ind w:right="960"/>
        <w:jc w:val="center"/>
      </w:pPr>
      <w:r>
        <w:rPr>
          <w:rFonts w:ascii="標楷體" w:eastAsia="標楷體" w:hAnsi="標楷體" w:cs="標楷體"/>
        </w:rPr>
        <w:t xml:space="preserve">                                    </w:t>
      </w:r>
      <w:r>
        <w:rPr>
          <w:rFonts w:ascii="標楷體" w:eastAsia="標楷體" w:hAnsi="標楷體" w:cs="標楷體"/>
        </w:rPr>
        <w:t>設計者：王仲凱</w:t>
      </w:r>
    </w:p>
    <w:p w:rsidR="00BF7AE2" w:rsidRDefault="009D70FA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BF7AE2" w:rsidRDefault="009D70FA">
      <w:pPr>
        <w:spacing w:line="3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1.□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BF7AE2" w:rsidRDefault="009D70FA">
      <w:pPr>
        <w:spacing w:line="3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BF7AE2" w:rsidRDefault="009D70FA">
      <w:pPr>
        <w:spacing w:line="3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</w:t>
      </w:r>
      <w:r>
        <w:rPr>
          <w:rFonts w:ascii="標楷體" w:eastAsia="標楷體" w:hAnsi="標楷體" w:cs="標楷體"/>
        </w:rPr>
        <w:t>殊需求領域課</w:t>
      </w:r>
      <w:r>
        <w:rPr>
          <w:rFonts w:ascii="標楷體" w:eastAsia="標楷體" w:hAnsi="標楷體" w:cs="標楷體"/>
        </w:rPr>
        <w:t>程</w:t>
      </w:r>
    </w:p>
    <w:p w:rsidR="00BF7AE2" w:rsidRPr="009D70FA" w:rsidRDefault="009D70FA" w:rsidP="009D70FA">
      <w:pPr>
        <w:spacing w:line="300" w:lineRule="auto"/>
        <w:ind w:leftChars="300" w:left="2640" w:hangingChars="80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 w:rsidRPr="009D70FA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BF7AE2" w:rsidRDefault="009D70F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( 1 )</w:t>
      </w:r>
      <w:r>
        <w:rPr>
          <w:rFonts w:ascii="標楷體" w:eastAsia="標楷體" w:hAnsi="標楷體" w:cs="標楷體"/>
        </w:rPr>
        <w:t>節，下學期</w:t>
      </w:r>
      <w:r>
        <w:rPr>
          <w:rFonts w:ascii="標楷體" w:eastAsia="標楷體" w:hAnsi="標楷體" w:cs="標楷體"/>
        </w:rPr>
        <w:t>( 18 )</w:t>
      </w:r>
      <w:r>
        <w:rPr>
          <w:rFonts w:ascii="標楷體" w:eastAsia="標楷體" w:hAnsi="標楷體" w:cs="標楷體"/>
        </w:rPr>
        <w:t>節。</w:t>
      </w:r>
    </w:p>
    <w:p w:rsidR="00BF7AE2" w:rsidRDefault="009D70F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BF7AE2" w:rsidRDefault="009D70FA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E-A2 </w:t>
      </w:r>
      <w:r>
        <w:rPr>
          <w:rFonts w:ascii="標楷體" w:eastAsia="標楷體" w:hAnsi="標楷體" w:cs="標楷體"/>
        </w:rPr>
        <w:t>具備探索問題的思考能力，並透過體驗與實踐處理日常生活問題。</w:t>
      </w:r>
    </w:p>
    <w:p w:rsidR="00BF7AE2" w:rsidRDefault="009D70FA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E-C1 </w:t>
      </w:r>
      <w:r>
        <w:rPr>
          <w:rFonts w:ascii="標楷體" w:eastAsia="標楷體" w:hAnsi="標楷體" w:cs="標楷體"/>
        </w:rPr>
        <w:t>具備個人生活道德的知識與是非判斷的能力，理解並遵守社會道德規範，培養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公民意識，關懷生態環境。</w:t>
      </w:r>
    </w:p>
    <w:p w:rsidR="00BF7AE2" w:rsidRDefault="009D70FA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E-C2 </w:t>
      </w:r>
      <w:r>
        <w:rPr>
          <w:rFonts w:ascii="標楷體" w:eastAsia="標楷體" w:hAnsi="標楷體" w:cs="標楷體"/>
        </w:rPr>
        <w:t>具備理解他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人感受，樂於與人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互動，並與團隊成員合作之素養。</w:t>
      </w:r>
    </w:p>
    <w:p w:rsidR="009D70FA" w:rsidRDefault="009D70FA">
      <w:pPr>
        <w:rPr>
          <w:rFonts w:ascii="標楷體" w:eastAsia="標楷體" w:hAnsi="標楷體" w:cs="標楷體" w:hint="eastAsia"/>
        </w:rPr>
      </w:pPr>
    </w:p>
    <w:p w:rsidR="00BF7AE2" w:rsidRDefault="009D70FA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BF7AE2" w:rsidRDefault="009D70FA">
      <w:pPr>
        <w:spacing w:line="400" w:lineRule="auto"/>
        <w:ind w:firstLine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本課程分成三個主要活動：</w:t>
      </w:r>
    </w:p>
    <w:p w:rsidR="00BF7AE2" w:rsidRDefault="009D70FA">
      <w:pPr>
        <w:numPr>
          <w:ilvl w:val="0"/>
          <w:numId w:val="1"/>
        </w:num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攀登活動，包含翻過高牆、走繩、繩結、攀樹，透過團體活動學習互助合作，符合</w:t>
      </w:r>
      <w:r>
        <w:rPr>
          <w:rFonts w:ascii="標楷體" w:eastAsia="標楷體" w:hAnsi="標楷體" w:cs="標楷體"/>
        </w:rPr>
        <w:t>E-C2</w:t>
      </w:r>
      <w:r>
        <w:rPr>
          <w:rFonts w:ascii="標楷體" w:eastAsia="標楷體" w:hAnsi="標楷體" w:cs="標楷體"/>
        </w:rPr>
        <w:t>的核心素養</w:t>
      </w:r>
    </w:p>
    <w:p w:rsidR="00BF7AE2" w:rsidRDefault="009D70FA">
      <w:pPr>
        <w:numPr>
          <w:ilvl w:val="0"/>
          <w:numId w:val="1"/>
        </w:num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野炊，包含生火、作灶、無具野</w:t>
      </w:r>
      <w:r>
        <w:rPr>
          <w:rFonts w:ascii="標楷體" w:eastAsia="標楷體" w:hAnsi="標楷體" w:cs="標楷體"/>
        </w:rPr>
        <w:t>炊，透過基本自然原理來生火滅火，用身邊的石頭、樹枝或磚塊來作灶並動手以簡易食品無具野炊，符合</w:t>
      </w:r>
      <w:r>
        <w:rPr>
          <w:rFonts w:ascii="標楷體" w:eastAsia="標楷體" w:hAnsi="標楷體" w:cs="標楷體"/>
        </w:rPr>
        <w:t>E-C2</w:t>
      </w:r>
      <w:r>
        <w:rPr>
          <w:rFonts w:ascii="標楷體" w:eastAsia="標楷體" w:hAnsi="標楷體" w:cs="標楷體"/>
        </w:rPr>
        <w:t>的核心素養。</w:t>
      </w:r>
    </w:p>
    <w:p w:rsidR="00BF7AE2" w:rsidRDefault="009D70FA">
      <w:pPr>
        <w:numPr>
          <w:ilvl w:val="0"/>
          <w:numId w:val="1"/>
        </w:num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團體遊戲，以簡易的團體遊戲帶領，讓學生學會遵守規範，符合</w:t>
      </w:r>
      <w:r>
        <w:rPr>
          <w:rFonts w:ascii="標楷體" w:eastAsia="標楷體" w:hAnsi="標楷體" w:cs="標楷體"/>
        </w:rPr>
        <w:t>E-C1</w:t>
      </w:r>
      <w:r>
        <w:rPr>
          <w:rFonts w:ascii="標楷體" w:eastAsia="標楷體" w:hAnsi="標楷體" w:cs="標楷體"/>
        </w:rPr>
        <w:t>的核心素養</w:t>
      </w:r>
      <w:r>
        <w:rPr>
          <w:rFonts w:ascii="標楷體" w:eastAsia="標楷體" w:hAnsi="標楷體" w:cs="標楷體"/>
        </w:rPr>
        <w:t xml:space="preserve">   </w:t>
      </w:r>
    </w:p>
    <w:p w:rsidR="00BF7AE2" w:rsidRDefault="009D70F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BF7AE2" w:rsidRDefault="009D70F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BF7AE2" w:rsidRDefault="009D70F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 ■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BF7AE2" w:rsidRDefault="009D70F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品德教育</w:t>
      </w:r>
    </w:p>
    <w:p w:rsidR="00BF7AE2" w:rsidRDefault="009D70F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BF7AE2" w:rsidRDefault="009D70F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BF7AE2" w:rsidRDefault="009D70F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9D70FA" w:rsidRDefault="009D70FA">
      <w:pPr>
        <w:spacing w:line="400" w:lineRule="auto"/>
        <w:jc w:val="both"/>
        <w:rPr>
          <w:rFonts w:ascii="標楷體" w:eastAsia="標楷體" w:hAnsi="標楷體" w:cs="標楷體"/>
        </w:rPr>
      </w:pPr>
    </w:p>
    <w:p w:rsidR="009D70FA" w:rsidRDefault="009D70FA">
      <w:pPr>
        <w:spacing w:line="400" w:lineRule="auto"/>
        <w:jc w:val="both"/>
        <w:rPr>
          <w:rFonts w:ascii="標楷體" w:eastAsia="標楷體" w:hAnsi="標楷體" w:cs="標楷體"/>
        </w:rPr>
      </w:pPr>
    </w:p>
    <w:p w:rsidR="009D70FA" w:rsidRDefault="009D70FA">
      <w:pPr>
        <w:spacing w:line="400" w:lineRule="auto"/>
        <w:jc w:val="both"/>
        <w:rPr>
          <w:rFonts w:ascii="標楷體" w:eastAsia="標楷體" w:hAnsi="標楷體" w:cs="標楷體"/>
        </w:rPr>
      </w:pPr>
    </w:p>
    <w:p w:rsidR="009D70FA" w:rsidRDefault="009D70FA">
      <w:pPr>
        <w:spacing w:line="400" w:lineRule="auto"/>
        <w:jc w:val="both"/>
        <w:rPr>
          <w:rFonts w:ascii="標楷體" w:eastAsia="標楷體" w:hAnsi="標楷體" w:cs="標楷體" w:hint="eastAsia"/>
        </w:rPr>
      </w:pPr>
    </w:p>
    <w:p w:rsidR="00BF7AE2" w:rsidRDefault="009D70F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b"/>
        <w:tblW w:w="94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8"/>
        <w:gridCol w:w="3237"/>
        <w:gridCol w:w="3236"/>
      </w:tblGrid>
      <w:tr w:rsidR="00BF7AE2" w:rsidTr="009D70FA">
        <w:trPr>
          <w:trHeight w:val="1277"/>
        </w:trPr>
        <w:tc>
          <w:tcPr>
            <w:tcW w:w="2928" w:type="dxa"/>
            <w:tcBorders>
              <w:tl2br w:val="single" w:sz="4" w:space="0" w:color="auto"/>
            </w:tcBorders>
          </w:tcPr>
          <w:p w:rsidR="00BF7AE2" w:rsidRDefault="009D70FA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3237" w:type="dxa"/>
          </w:tcPr>
          <w:p w:rsidR="00BF7AE2" w:rsidRDefault="009D70FA" w:rsidP="009D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2b-II-1</w:t>
            </w:r>
            <w: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體會團隊合作的意義，並能關懷團隊的成員。</w:t>
            </w:r>
          </w:p>
        </w:tc>
        <w:tc>
          <w:tcPr>
            <w:tcW w:w="3236" w:type="dxa"/>
          </w:tcPr>
          <w:p w:rsidR="00BF7AE2" w:rsidRDefault="009D70F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b-II-2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參加團體活動，遵守紀律、重視榮譽感，並展現負責的態度。</w:t>
            </w:r>
          </w:p>
        </w:tc>
      </w:tr>
      <w:tr w:rsidR="00BF7AE2">
        <w:trPr>
          <w:trHeight w:val="515"/>
        </w:trPr>
        <w:tc>
          <w:tcPr>
            <w:tcW w:w="2928" w:type="dxa"/>
          </w:tcPr>
          <w:p w:rsidR="00BF7AE2" w:rsidRDefault="009D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Bb-II-1 </w:t>
            </w:r>
          </w:p>
          <w:tbl>
            <w:tblPr>
              <w:tblStyle w:val="af"/>
              <w:tblW w:w="2712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12"/>
            </w:tblGrid>
            <w:tr w:rsidR="00BF7AE2">
              <w:trPr>
                <w:trHeight w:val="284"/>
              </w:trPr>
              <w:tc>
                <w:tcPr>
                  <w:tcW w:w="2712" w:type="dxa"/>
                </w:tcPr>
                <w:p w:rsidR="00BF7AE2" w:rsidRDefault="009D70FA">
                  <w:pPr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團隊合作的意義與重要性。</w:t>
                  </w:r>
                </w:p>
              </w:tc>
            </w:tr>
          </w:tbl>
          <w:p w:rsidR="00BF7AE2" w:rsidRDefault="00BF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237" w:type="dxa"/>
          </w:tcPr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翻過高牆</w:t>
            </w:r>
          </w:p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走繩</w:t>
            </w:r>
          </w:p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繩結攀樹</w:t>
            </w:r>
          </w:p>
        </w:tc>
        <w:tc>
          <w:tcPr>
            <w:tcW w:w="3236" w:type="dxa"/>
          </w:tcPr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生火作灶</w:t>
            </w:r>
          </w:p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無具野炊</w:t>
            </w:r>
          </w:p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團體遊戲</w:t>
            </w:r>
          </w:p>
        </w:tc>
      </w:tr>
      <w:tr w:rsidR="00BF7AE2">
        <w:trPr>
          <w:trHeight w:val="515"/>
        </w:trPr>
        <w:tc>
          <w:tcPr>
            <w:tcW w:w="2928" w:type="dxa"/>
          </w:tcPr>
          <w:p w:rsidR="00BF7AE2" w:rsidRDefault="009D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Bb-II-2 </w:t>
            </w:r>
          </w:p>
          <w:tbl>
            <w:tblPr>
              <w:tblStyle w:val="af0"/>
              <w:tblW w:w="2496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6"/>
            </w:tblGrid>
            <w:tr w:rsidR="00BF7AE2">
              <w:trPr>
                <w:trHeight w:val="123"/>
              </w:trPr>
              <w:tc>
                <w:tcPr>
                  <w:tcW w:w="2496" w:type="dxa"/>
                </w:tcPr>
                <w:p w:rsidR="00BF7AE2" w:rsidRDefault="009D70FA">
                  <w:pPr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關懷團隊成員的行動。</w:t>
                  </w:r>
                </w:p>
              </w:tc>
            </w:tr>
          </w:tbl>
          <w:p w:rsidR="00BF7AE2" w:rsidRDefault="00BF7AE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237" w:type="dxa"/>
          </w:tcPr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翻過高牆</w:t>
            </w:r>
          </w:p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走繩</w:t>
            </w:r>
          </w:p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繩結攀樹</w:t>
            </w:r>
          </w:p>
        </w:tc>
        <w:tc>
          <w:tcPr>
            <w:tcW w:w="3236" w:type="dxa"/>
          </w:tcPr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生火作灶</w:t>
            </w:r>
          </w:p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無具野炊</w:t>
            </w:r>
          </w:p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團體遊戲</w:t>
            </w:r>
          </w:p>
        </w:tc>
      </w:tr>
      <w:tr w:rsidR="00BF7AE2">
        <w:trPr>
          <w:trHeight w:val="515"/>
        </w:trPr>
        <w:tc>
          <w:tcPr>
            <w:tcW w:w="2928" w:type="dxa"/>
          </w:tcPr>
          <w:p w:rsidR="00BF7AE2" w:rsidRDefault="009D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Bb-II-3 </w:t>
            </w:r>
          </w:p>
          <w:tbl>
            <w:tblPr>
              <w:tblStyle w:val="af1"/>
              <w:tblW w:w="2496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6"/>
            </w:tblGrid>
            <w:tr w:rsidR="00BF7AE2">
              <w:trPr>
                <w:trHeight w:val="123"/>
              </w:trPr>
              <w:tc>
                <w:tcPr>
                  <w:tcW w:w="2496" w:type="dxa"/>
                </w:tcPr>
                <w:p w:rsidR="00BF7AE2" w:rsidRDefault="009D70FA">
                  <w:pPr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團體活動的參與態度。</w:t>
                  </w:r>
                </w:p>
              </w:tc>
            </w:tr>
          </w:tbl>
          <w:p w:rsidR="00BF7AE2" w:rsidRDefault="00BF7AE2">
            <w:pPr>
              <w:rPr>
                <w:sz w:val="24"/>
                <w:szCs w:val="24"/>
              </w:rPr>
            </w:pPr>
          </w:p>
        </w:tc>
        <w:tc>
          <w:tcPr>
            <w:tcW w:w="3237" w:type="dxa"/>
          </w:tcPr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翻過高牆</w:t>
            </w:r>
          </w:p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走繩</w:t>
            </w:r>
          </w:p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繩結攀樹</w:t>
            </w:r>
          </w:p>
        </w:tc>
        <w:tc>
          <w:tcPr>
            <w:tcW w:w="3236" w:type="dxa"/>
          </w:tcPr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生火作灶</w:t>
            </w:r>
          </w:p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無具野炊</w:t>
            </w:r>
          </w:p>
          <w:p w:rsidR="00BF7AE2" w:rsidRDefault="009D70FA">
            <w:pP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團體遊戲</w:t>
            </w:r>
          </w:p>
        </w:tc>
      </w:tr>
    </w:tbl>
    <w:p w:rsidR="00BF7AE2" w:rsidRDefault="00BF7AE2">
      <w:pPr>
        <w:widowControl/>
        <w:rPr>
          <w:rFonts w:ascii="標楷體" w:eastAsia="標楷體" w:hAnsi="標楷體" w:cs="標楷體"/>
        </w:rPr>
      </w:pPr>
    </w:p>
    <w:p w:rsidR="00BF7AE2" w:rsidRDefault="009D70F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五、課程內涵：</w:t>
      </w:r>
    </w:p>
    <w:tbl>
      <w:tblPr>
        <w:tblStyle w:val="af2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BF7AE2">
        <w:trPr>
          <w:trHeight w:val="370"/>
        </w:trPr>
        <w:tc>
          <w:tcPr>
            <w:tcW w:w="1134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8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BF7AE2">
        <w:trPr>
          <w:trHeight w:val="370"/>
        </w:trPr>
        <w:tc>
          <w:tcPr>
            <w:tcW w:w="1134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260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翻過高牆</w:t>
            </w:r>
          </w:p>
        </w:tc>
        <w:tc>
          <w:tcPr>
            <w:tcW w:w="709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BF7AE2" w:rsidRDefault="009D70FA">
            <w:pPr>
              <w:jc w:val="center"/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  <w:tc>
          <w:tcPr>
            <w:tcW w:w="1417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能積極參與</w:t>
            </w:r>
          </w:p>
        </w:tc>
        <w:tc>
          <w:tcPr>
            <w:tcW w:w="1559" w:type="dxa"/>
            <w:vAlign w:val="center"/>
          </w:tcPr>
          <w:p w:rsidR="00BF7AE2" w:rsidRDefault="00BF7AE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F7AE2">
        <w:trPr>
          <w:trHeight w:val="370"/>
        </w:trPr>
        <w:tc>
          <w:tcPr>
            <w:tcW w:w="1134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260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走繩</w:t>
            </w:r>
          </w:p>
        </w:tc>
        <w:tc>
          <w:tcPr>
            <w:tcW w:w="709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BF7AE2" w:rsidRDefault="009D70FA">
            <w:pPr>
              <w:jc w:val="center"/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  <w:tc>
          <w:tcPr>
            <w:tcW w:w="1417" w:type="dxa"/>
          </w:tcPr>
          <w:p w:rsidR="00BF7AE2" w:rsidRDefault="009D70FA">
            <w:r>
              <w:rPr>
                <w:rFonts w:ascii="標楷體" w:eastAsia="標楷體" w:hAnsi="標楷體" w:cs="標楷體"/>
              </w:rPr>
              <w:t>能積極參與</w:t>
            </w:r>
          </w:p>
        </w:tc>
        <w:tc>
          <w:tcPr>
            <w:tcW w:w="1559" w:type="dxa"/>
            <w:vAlign w:val="center"/>
          </w:tcPr>
          <w:p w:rsidR="00BF7AE2" w:rsidRDefault="00BF7AE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F7AE2">
        <w:trPr>
          <w:trHeight w:val="370"/>
        </w:trPr>
        <w:tc>
          <w:tcPr>
            <w:tcW w:w="1134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260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繩結</w:t>
            </w:r>
          </w:p>
        </w:tc>
        <w:tc>
          <w:tcPr>
            <w:tcW w:w="709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  <w:tc>
          <w:tcPr>
            <w:tcW w:w="1417" w:type="dxa"/>
          </w:tcPr>
          <w:p w:rsidR="00BF7AE2" w:rsidRDefault="009D70FA">
            <w:r>
              <w:rPr>
                <w:rFonts w:ascii="標楷體" w:eastAsia="標楷體" w:hAnsi="標楷體" w:cs="標楷體"/>
              </w:rPr>
              <w:t>能積極參與</w:t>
            </w:r>
          </w:p>
        </w:tc>
        <w:tc>
          <w:tcPr>
            <w:tcW w:w="1559" w:type="dxa"/>
            <w:vAlign w:val="center"/>
          </w:tcPr>
          <w:p w:rsidR="00BF7AE2" w:rsidRDefault="00BF7AE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F7AE2">
        <w:trPr>
          <w:trHeight w:val="370"/>
        </w:trPr>
        <w:tc>
          <w:tcPr>
            <w:tcW w:w="1134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4-6</w:t>
            </w:r>
          </w:p>
        </w:tc>
        <w:tc>
          <w:tcPr>
            <w:tcW w:w="3260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攀樹</w:t>
            </w:r>
          </w:p>
        </w:tc>
        <w:tc>
          <w:tcPr>
            <w:tcW w:w="709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8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  <w:tc>
          <w:tcPr>
            <w:tcW w:w="1417" w:type="dxa"/>
          </w:tcPr>
          <w:p w:rsidR="00BF7AE2" w:rsidRDefault="009D70FA">
            <w:r>
              <w:rPr>
                <w:rFonts w:ascii="標楷體" w:eastAsia="標楷體" w:hAnsi="標楷體" w:cs="標楷體"/>
              </w:rPr>
              <w:t>能積極參與</w:t>
            </w:r>
          </w:p>
        </w:tc>
        <w:tc>
          <w:tcPr>
            <w:tcW w:w="1559" w:type="dxa"/>
            <w:vAlign w:val="center"/>
          </w:tcPr>
          <w:p w:rsidR="00BF7AE2" w:rsidRDefault="00BF7AE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F7AE2">
        <w:trPr>
          <w:trHeight w:val="370"/>
        </w:trPr>
        <w:tc>
          <w:tcPr>
            <w:tcW w:w="1134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3260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生火</w:t>
            </w:r>
          </w:p>
        </w:tc>
        <w:tc>
          <w:tcPr>
            <w:tcW w:w="709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  <w:tc>
          <w:tcPr>
            <w:tcW w:w="1417" w:type="dxa"/>
          </w:tcPr>
          <w:p w:rsidR="00BF7AE2" w:rsidRDefault="009D70FA">
            <w:r>
              <w:rPr>
                <w:rFonts w:ascii="標楷體" w:eastAsia="標楷體" w:hAnsi="標楷體" w:cs="標楷體"/>
              </w:rPr>
              <w:t>能積極參與</w:t>
            </w:r>
          </w:p>
        </w:tc>
        <w:tc>
          <w:tcPr>
            <w:tcW w:w="1559" w:type="dxa"/>
            <w:vAlign w:val="center"/>
          </w:tcPr>
          <w:p w:rsidR="00BF7AE2" w:rsidRDefault="00BF7AE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F7AE2">
        <w:trPr>
          <w:trHeight w:val="370"/>
        </w:trPr>
        <w:tc>
          <w:tcPr>
            <w:tcW w:w="1134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3260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作灶</w:t>
            </w:r>
          </w:p>
        </w:tc>
        <w:tc>
          <w:tcPr>
            <w:tcW w:w="709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  <w:tc>
          <w:tcPr>
            <w:tcW w:w="1417" w:type="dxa"/>
          </w:tcPr>
          <w:p w:rsidR="00BF7AE2" w:rsidRDefault="009D70FA">
            <w:r>
              <w:rPr>
                <w:rFonts w:ascii="標楷體" w:eastAsia="標楷體" w:hAnsi="標楷體" w:cs="標楷體"/>
              </w:rPr>
              <w:t>能積極參與</w:t>
            </w:r>
          </w:p>
        </w:tc>
        <w:tc>
          <w:tcPr>
            <w:tcW w:w="1559" w:type="dxa"/>
            <w:vAlign w:val="center"/>
          </w:tcPr>
          <w:p w:rsidR="00BF7AE2" w:rsidRDefault="00BF7AE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F7AE2">
        <w:trPr>
          <w:trHeight w:val="370"/>
        </w:trPr>
        <w:tc>
          <w:tcPr>
            <w:tcW w:w="1134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9-10</w:t>
            </w:r>
          </w:p>
        </w:tc>
        <w:tc>
          <w:tcPr>
            <w:tcW w:w="3260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無具野炊</w:t>
            </w:r>
          </w:p>
        </w:tc>
        <w:tc>
          <w:tcPr>
            <w:tcW w:w="709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  <w:tc>
          <w:tcPr>
            <w:tcW w:w="1417" w:type="dxa"/>
          </w:tcPr>
          <w:p w:rsidR="00BF7AE2" w:rsidRDefault="009D70FA">
            <w:r>
              <w:rPr>
                <w:rFonts w:ascii="標楷體" w:eastAsia="標楷體" w:hAnsi="標楷體" w:cs="標楷體"/>
              </w:rPr>
              <w:t>能積極參與</w:t>
            </w:r>
          </w:p>
        </w:tc>
        <w:tc>
          <w:tcPr>
            <w:tcW w:w="1559" w:type="dxa"/>
            <w:vAlign w:val="center"/>
          </w:tcPr>
          <w:p w:rsidR="00BF7AE2" w:rsidRDefault="00BF7AE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F7AE2">
        <w:trPr>
          <w:trHeight w:val="370"/>
        </w:trPr>
        <w:tc>
          <w:tcPr>
            <w:tcW w:w="1134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11-18</w:t>
            </w:r>
          </w:p>
        </w:tc>
        <w:tc>
          <w:tcPr>
            <w:tcW w:w="3260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團體遊戲</w:t>
            </w:r>
          </w:p>
        </w:tc>
        <w:tc>
          <w:tcPr>
            <w:tcW w:w="709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418" w:type="dxa"/>
            <w:vAlign w:val="center"/>
          </w:tcPr>
          <w:p w:rsidR="00BF7AE2" w:rsidRDefault="009D70F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  <w:tc>
          <w:tcPr>
            <w:tcW w:w="1417" w:type="dxa"/>
          </w:tcPr>
          <w:p w:rsidR="00BF7AE2" w:rsidRDefault="009D70FA">
            <w:r>
              <w:rPr>
                <w:rFonts w:ascii="標楷體" w:eastAsia="標楷體" w:hAnsi="標楷體" w:cs="標楷體"/>
              </w:rPr>
              <w:t>能積極參與</w:t>
            </w:r>
          </w:p>
        </w:tc>
        <w:tc>
          <w:tcPr>
            <w:tcW w:w="1559" w:type="dxa"/>
            <w:vAlign w:val="center"/>
          </w:tcPr>
          <w:p w:rsidR="00BF7AE2" w:rsidRDefault="00BF7AE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BF7AE2" w:rsidRDefault="00BF7AE2">
      <w:pPr>
        <w:rPr>
          <w:rFonts w:ascii="標楷體" w:eastAsia="標楷體" w:hAnsi="標楷體" w:cs="標楷體"/>
        </w:rPr>
      </w:pPr>
      <w:bookmarkStart w:id="1" w:name="_GoBack"/>
      <w:bookmarkEnd w:id="1"/>
    </w:p>
    <w:sectPr w:rsidR="00BF7AE2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C5757"/>
    <w:multiLevelType w:val="multilevel"/>
    <w:tmpl w:val="E20463B6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E2"/>
    <w:rsid w:val="009D70FA"/>
    <w:rsid w:val="00B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7510"/>
  <w15:docId w15:val="{00C8274A-E175-4AB2-AFEF-FE50AE0A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character" w:customStyle="1" w:styleId="fontstyle01">
    <w:name w:val="fontstyle01"/>
    <w:basedOn w:val="a0"/>
    <w:rsid w:val="00E30890"/>
    <w:rPr>
      <w:rFonts w:ascii="標楷體" w:eastAsia="標楷體" w:hAnsi="標楷體" w:hint="eastAsia"/>
      <w:b w:val="0"/>
      <w:bCs w:val="0"/>
      <w:i w:val="0"/>
      <w:iCs w:val="0"/>
      <w:color w:val="000000"/>
      <w:sz w:val="28"/>
      <w:szCs w:val="2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aYarVxveflr/4BDfJCeiP1pl5g==">AMUW2mVUxYfpl/pwXAcnF6cu01nm7Sg9p9k5lrj8MzUXd/0OxnnV9huT0O+SS1+5ETj+H+O9sxc1O5ta/AGbq6sbT40o780nmGJWLnejy2isl8dULXAtZWw6QjPxTVFGKdvlkCyUj4eV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2</cp:revision>
  <dcterms:created xsi:type="dcterms:W3CDTF">2021-07-12T00:48:00Z</dcterms:created>
  <dcterms:modified xsi:type="dcterms:W3CDTF">2021-07-16T02:59:00Z</dcterms:modified>
</cp:coreProperties>
</file>