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2C7" w:rsidRDefault="00EB5B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嘉義市港坪國民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小學閩語領域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課程計畫</w:t>
      </w:r>
    </w:p>
    <w:tbl>
      <w:tblPr>
        <w:tblStyle w:val="aff0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2155"/>
        <w:gridCol w:w="3544"/>
        <w:gridCol w:w="1417"/>
        <w:gridCol w:w="425"/>
        <w:gridCol w:w="721"/>
      </w:tblGrid>
      <w:tr w:rsidR="00C812C7">
        <w:trPr>
          <w:trHeight w:val="641"/>
        </w:trPr>
        <w:tc>
          <w:tcPr>
            <w:tcW w:w="10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嘉義市港坪國小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學年度第一學期六年級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領域課程計畫</w:t>
            </w:r>
          </w:p>
        </w:tc>
      </w:tr>
      <w:tr w:rsidR="00C812C7">
        <w:trPr>
          <w:trHeight w:val="300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學習目標</w:t>
            </w:r>
          </w:p>
        </w:tc>
      </w:tr>
      <w:tr w:rsidR="00C812C7">
        <w:trPr>
          <w:trHeight w:val="728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能夠講說出各種臺灣農特產的說法。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了解臺灣各地出產的農特產。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能夠認識各種臺灣小吃。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以逛夜市的經驗描述臺灣小吃。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透過對各地的點心美食的認識接近本土人文。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能夠說出各種天災的說法。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能學會各種防災的基本常識，並培養面對災害時冷靜面對的態度。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能夠說出各種疊字形容詞的說法。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透過課文情境，讓學生了解冬至活動及其他相關傳統節日。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能夠說出各種藝文活動的說法。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了解中西文化之差異，進而學會欣賞各種藝文活動。</w:t>
            </w:r>
          </w:p>
        </w:tc>
      </w:tr>
      <w:tr w:rsidR="00C812C7">
        <w:trPr>
          <w:trHeight w:val="838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（二）單元內涵分析</w:t>
            </w:r>
          </w:p>
        </w:tc>
      </w:tr>
      <w:tr w:rsidR="00C812C7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proofErr w:type="gramStart"/>
            <w:r>
              <w:rPr>
                <w:rFonts w:ascii="PMingLiu" w:eastAsia="PMingLiu" w:hAnsi="PMingLiu" w:cs="PMingLiu"/>
                <w:color w:val="000000"/>
                <w:szCs w:val="24"/>
              </w:rPr>
              <w:t>週</w:t>
            </w:r>
            <w:proofErr w:type="gramEnd"/>
            <w:r>
              <w:rPr>
                <w:rFonts w:ascii="PMingLiu" w:eastAsia="PMingLiu" w:hAnsi="PMingLiu" w:cs="PMingLiu"/>
                <w:color w:val="000000"/>
                <w:szCs w:val="24"/>
              </w:rPr>
              <w:t>次</w:t>
            </w:r>
          </w:p>
        </w:tc>
        <w:tc>
          <w:tcPr>
            <w:tcW w:w="544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能力指標</w:t>
            </w:r>
          </w:p>
        </w:tc>
        <w:tc>
          <w:tcPr>
            <w:tcW w:w="2155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相對應能力指標之活動名稱</w:t>
            </w:r>
          </w:p>
        </w:tc>
        <w:tc>
          <w:tcPr>
            <w:tcW w:w="3544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單元學習目標</w:t>
            </w:r>
          </w:p>
        </w:tc>
        <w:tc>
          <w:tcPr>
            <w:tcW w:w="1417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重大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議題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節數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評量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方式</w:t>
            </w:r>
          </w:p>
        </w:tc>
      </w:tr>
      <w:tr w:rsidR="00EB5B2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position w:val="0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第一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9/1~9/3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6  2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-3-1  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 紙箱仔揣朋友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1.能流暢的朗讀課文，並理解課文內涵。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2.能說出語詞遊樂園裡的各縣市農特產的閩南語說法。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1-2-1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第二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9/6~9/10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6  2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-3-1  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 紙箱仔揣朋友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1.能透過替換語詞，練習仿造句子。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2.能正確的完成本課練習。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1-2-1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13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第三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9/13~9/17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6  2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-3-1  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第1課 紙箱仔揣朋友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」的讀音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和例詞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1-2-1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EB5B2C">
        <w:trPr>
          <w:trHeight w:val="177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第四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9/20~9/25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1-3-6　2-3-１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2-3-5　2-3-9　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 踅夜市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1.以逛夜市的經驗描述臺灣小吃。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2.透過對各地的點心美食的認識接近本土人文。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3.學會並熟讀本課課文，了解並熟悉本課語詞。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4.能做圖說故事之聽說練習。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462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9/27~10/1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1-3-6　2-3-１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2-3-5　2-3-9　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 踅夜市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1.學會本課句型「先…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閣…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」的造句與對話，並複習本課詞彙。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2.能正確的完成本課練習。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3.學會本課內容相關之俗諺語。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465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第六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10/4~10/8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1-3-6　2-3-１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2-3-5　2-3-9　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第2課 踅夜市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」的讀音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和例詞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3-2-2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EB5B2C">
        <w:trPr>
          <w:trHeight w:val="171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第七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10/11~10/15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1-3-3　1-3-4　1-3-8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2-3-2　2-3-8　4-3-4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一、臺灣的好食物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熟念第一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、二課課文。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2.能將第一、二課語詞運用於生活。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3.藉「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」評量學生是否能聽懂臺灣農特產、各種小吃的閩南語說法，並能運用於生活對話中。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4.能理解單元故事的內容，了解臺灣特.有的夜市文化。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551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第八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10/18~10/22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1-3-4　1-3-8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2-3-7　2-3-8　2-3-9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 地　動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1.學會課文朗讀並能深入瞭解課文意涵。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2.能講出語詞遊樂園中的各種天然災害。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3-2-3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505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10/25~10/29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1-3-4　1-3-8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2-3-7　2-3-8　2-3-9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 地　動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1.學會本課句型「代先…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」的例句與對話。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2.學會各種防災的基本常識，並培養面對災害時冷靜面對的態度。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3.能正確的完成本課練習。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3-2-3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337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11/1~11/5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1-3-4　1-3-8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2-3-7　2-3-8　2-3-9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4-3-4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第3課 地　動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」的讀音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和例詞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3-2-3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483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11/8~11/12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　2-3-4　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二、天災地變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單元活動二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」評量學生是否能聽懂天然災害的閩南語說法，並能運用於生活對話中。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2.能理解單元故事的內容。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EB5B2C">
        <w:trPr>
          <w:trHeight w:val="1626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11/15~11/19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6  2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-3-1  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第4課  圓仔圓圓圓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1.能流暢的朗讀課文，並理解課文內涵。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2.能說出語詞遊樂園裡的疊字形容詞閩南語說法。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619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11/22~11/26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6  2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-3-1  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第4課  圓仔圓圓圓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1.學會本課句型「動詞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＋著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＋形容詞」的例句與對話。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2.能正確的完成本課練習。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457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11/29~12/3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6  2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-3-1  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第4課  圓仔圓圓圓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」的讀音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和例詞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12/6~12/10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2-3-3　2-3-6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　4-3-1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第5課  搬　戲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1.學會課文朗讀並能深入瞭解課文意涵。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2.能講出語詞遊樂園中的各種藝文活動。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301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12/13~12/17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2-3-3　2-3-6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　4-3-1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第5課  搬　戲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1.學會本課句型「那…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…閣那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」的例句與對話。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2.了解中西文化之差異，進而學會欣賞各種藝文活動。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3.能正確的完成本課練習。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32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12/20~12/24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2-3-3　2-3-6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　4-3-1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第5課  搬　戲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1.能聽懂閩南語，並完成練習。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2.學會「我會曉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」的讀音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和例詞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3.進階了解閩南語「同字不同音」的用法。</w:t>
            </w:r>
          </w:p>
        </w:tc>
        <w:tc>
          <w:tcPr>
            <w:tcW w:w="1417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【環境教育】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1-2-4</w:t>
            </w: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作業</w:t>
            </w:r>
          </w:p>
        </w:tc>
      </w:tr>
      <w:tr w:rsidR="00EB5B2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12/27~12/31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1-3-8　2-3-6　4-3-5 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5-3-1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三、生活真趣味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單元活動三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三」評量學生是否能聽懂疊字形容詞、各種藝文活動的閩南語說法，並能運用於生活對話中。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2.藉由臺灣常見的廟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埕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前的場景，讓孩子從情境插畫中自由發現文化趣味，及表達本單元所學。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3.語言的學習來自家庭，透過親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子間的互動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故事，以短劇對話方式，讓學生體會語言的多層次感。</w:t>
            </w:r>
          </w:p>
        </w:tc>
        <w:tc>
          <w:tcPr>
            <w:tcW w:w="1417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第十九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1/3~1/7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　1-3-6　4-3-2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唸謠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臆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臺灣的地名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1.能理解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唸謠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的內容。</w:t>
            </w:r>
          </w:p>
        </w:tc>
        <w:tc>
          <w:tcPr>
            <w:tcW w:w="1417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t>第二十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1/10~1/14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1-3-1　1-3-6　4-3-2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來唱節日的歌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一年四季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 能用閩南語表達自己對四季的感受。</w:t>
            </w:r>
          </w:p>
        </w:tc>
        <w:tc>
          <w:tcPr>
            <w:tcW w:w="1417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 w:hint="eastAsia"/>
                <w:sz w:val="20"/>
              </w:rPr>
            </w:pPr>
            <w:r>
              <w:rPr>
                <w:rFonts w:ascii="標楷體" w:eastAsia="標楷體" w:hAnsi="標楷體" w:cs="標楷體" w:hint="eastAsia"/>
                <w:sz w:val="20"/>
              </w:rPr>
              <w:lastRenderedPageBreak/>
              <w:t>第二十一</w:t>
            </w:r>
            <w:proofErr w:type="gramStart"/>
            <w:r>
              <w:rPr>
                <w:rFonts w:ascii="標楷體" w:eastAsia="標楷體" w:hAnsi="標楷體" w:cs="標楷體" w:hint="eastAsia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1/17~1/20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1-3-2　4-3-2</w:t>
            </w:r>
          </w:p>
        </w:tc>
        <w:tc>
          <w:tcPr>
            <w:tcW w:w="215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趣味的話語</w:t>
            </w:r>
          </w:p>
        </w:tc>
        <w:tc>
          <w:tcPr>
            <w:tcW w:w="3544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1.能理解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閩南語謎猜的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趣味。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2.能理解閩南語的俗諺含義。</w:t>
            </w:r>
          </w:p>
        </w:tc>
        <w:tc>
          <w:tcPr>
            <w:tcW w:w="1417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721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</w:tbl>
    <w:p w:rsidR="00C812C7" w:rsidRDefault="00C81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  <w:szCs w:val="24"/>
        </w:rPr>
      </w:pPr>
    </w:p>
    <w:p w:rsidR="00C812C7" w:rsidRDefault="00EB5B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  <w:szCs w:val="24"/>
        </w:rPr>
      </w:pPr>
      <w:r>
        <w:br w:type="page"/>
      </w:r>
    </w:p>
    <w:tbl>
      <w:tblPr>
        <w:tblStyle w:val="aff1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24"/>
      </w:tblGrid>
      <w:tr w:rsidR="00C812C7">
        <w:trPr>
          <w:trHeight w:val="641"/>
        </w:trPr>
        <w:tc>
          <w:tcPr>
            <w:tcW w:w="1050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嘉義市港坪國小110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學年度第二學期六年級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領域課程計畫</w:t>
            </w:r>
          </w:p>
        </w:tc>
      </w:tr>
      <w:tr w:rsidR="00C812C7">
        <w:trPr>
          <w:trHeight w:val="300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學習目標</w:t>
            </w:r>
          </w:p>
        </w:tc>
      </w:tr>
      <w:tr w:rsidR="00C812C7">
        <w:trPr>
          <w:trHeight w:val="785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能流暢朗讀課文，並能透過課文理解不同族群的文化特色，建立國際觀的視野。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能學會各國特產的講法，並能了解世界文化的獨特性，培養尊重各國文化的包容性。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培養出對各國族群文化的相互欣賞與和諧相處。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透過課文的理解，了解潑水節的活動內容。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從課文內容延伸學習各種族群節日的說法，並學會尊重與欣賞不同文化的精髓和精神。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6.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能進階探討中外節慶所舉辦的相關活動。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7.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藉由「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」了解學生是否能聽懂閩南語短文，並熟悉各國特產、中外節慶等語詞的講法。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8.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能聽懂單元活動的內容，並能了解各族群的文化特色。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9.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能主動分擔家務，並體諒每位家人對家庭的付出。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能學會朗誦課文，並能演唱新歌詞，藉以抒發學生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畢業憂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喜參半的心情，在此求學轉折點上，凝聚感情，營造共同記憶。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12.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能延伸學習了解臺灣的學制，提早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規畫學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程藍圖。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臨別依依，能學會感謝師長的教導，珍惜同窗之緣，欣喜迎向挑戰。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13.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透過課文，能將心中的祝福化為行動，對同學、朋友給予真誠的祝福。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14.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能用閩南語祝福語給予同學祝福。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15.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能恰當的掌握對人表達祝福的時機與話語。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16.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能學會各俗諺的講法。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17.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能理解俗諺的內涵與意義。</w:t>
            </w:r>
          </w:p>
        </w:tc>
      </w:tr>
      <w:tr w:rsidR="00C812C7">
        <w:trPr>
          <w:trHeight w:val="838"/>
        </w:trPr>
        <w:tc>
          <w:tcPr>
            <w:tcW w:w="10501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（二）單元內涵分析</w:t>
            </w:r>
          </w:p>
        </w:tc>
      </w:tr>
      <w:tr w:rsidR="00C812C7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proofErr w:type="gramStart"/>
            <w:r>
              <w:rPr>
                <w:rFonts w:ascii="PMingLiu" w:eastAsia="PMingLiu" w:hAnsi="PMingLiu" w:cs="PMingLiu"/>
                <w:color w:val="000000"/>
                <w:szCs w:val="24"/>
              </w:rPr>
              <w:t>週</w:t>
            </w:r>
            <w:proofErr w:type="gramEnd"/>
            <w:r>
              <w:rPr>
                <w:rFonts w:ascii="PMingLiu" w:eastAsia="PMingLiu" w:hAnsi="PMingLiu" w:cs="PMingLiu"/>
                <w:color w:val="000000"/>
                <w:szCs w:val="24"/>
              </w:rPr>
              <w:t>次</w:t>
            </w:r>
          </w:p>
        </w:tc>
        <w:tc>
          <w:tcPr>
            <w:tcW w:w="544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重大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節數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評量</w:t>
            </w:r>
          </w:p>
          <w:p w:rsidR="00C812C7" w:rsidRDefault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szCs w:val="24"/>
              </w:rPr>
              <w:t>方式</w:t>
            </w:r>
          </w:p>
        </w:tc>
      </w:tr>
      <w:tr w:rsidR="00EB5B2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2-3-1　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2-3-4　2-3-5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4-3-5　5-3-3 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第1課 地球人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1.能了解並熟悉本課詞語與課文。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2.能延伸學習各國節慶的說法。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2-3-1　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2-3-4　2-3-5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　5-3-3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第1課 地球人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1.能學會「語詞遊樂園」的各國特色是什麼。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2.利用「相招來開講」情境內容，讓學生練習使用「抑…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抑…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」的句型。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3.藉課文情境，讓學生能尊重並欣賞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其他族群。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【人權教育】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1  4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-3-5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13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1-3-5　2-3-1　2-3-2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2-3-4　2-3-5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　5-3-3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第1課 地球人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1.能完成本課評量，並了解各國文化特色。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2.能學會本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課文白音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【人權教育】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1-3-4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1  4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-3-5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77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1-3-5　2-3-6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2-3-8　2-3-9　4-3-1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第2課 中和潑水節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1.能了解並熟悉本課詞語與課文。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2.能延伸學習不同族群民俗活動的說法。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462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1-3-5　2-3-6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2-3-8　2-3-9　4-3-1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第2課 中和潑水節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1.能透過「語詞遊樂園」了解臺灣多元、熱鬧的節日。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2.利用「相招來開講」的情境內容，練習「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毋但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嘛…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…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」的句型。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3.能將所學的句型，運用於生活中。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465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1-3-5　2-3-6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2-3-8　2-3-9　4-3-1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4-3-5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第2課 中和潑水節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1.能完成本課評量。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2.能分辨本課所學的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文白音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PMingLiu" w:eastAsia="PMingLiu" w:hAnsi="PMingLiu" w:cs="P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718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1-3-3　2-3-6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2-3-9　4-3-5　5-3-1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5-3-3　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一、多元文化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單元活動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1.藉由「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」了解學生是否能聽懂閩南語短文，並熟悉各國特產、中外節慶等語詞的講法。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2.能聽懂單元活動的內容，並能了解各族群的文化特色。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551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1-3-6　2-3-2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2-3-6　2-3-9　3-3-1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4-3-1　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阮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兜的心適代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第3課 阿爸煮飯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熟念本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課課文和語詞。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2.透過課文了解家務是全家人的責任，平時應主動分擔。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3.培養樂於參與家事的習慣，共同為家庭整潔盡一份心力。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505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1-3-6　2-3-2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2-3-6　2-3-9　3-3-1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4-3-1　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阮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兜的心適代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第3課 阿爸煮飯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1.藉「語詞遊樂園」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聽懂並能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說出各種家務的閩南語。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2.透過「相招來開講」的練習將家務的閩南語說法帶入生活中。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337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1-3-2　1-3-6　2-3-2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2-3-6　2-3-9　3-3-1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4-3-1　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阮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兜的心適代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第3課 阿爸煮飯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1.完成本課評量。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2.了解本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課文白音的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異同。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483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1-3-2　1-3-5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5-3-2　5-3-4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二、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阮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兜的心適代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單元活動二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1.藉由「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二」了解學生是否能聽懂閩南語短文及家事的閩南語說法。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2.藉「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盤仔愛拭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喙」故事，讓學生體會做家事需要有方法。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626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1-3-4　1-3-5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2-3-1　2-3-2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　4-3-3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矣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第4課 大樹青青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1.能學會朗誦課文，並能演唱新歌詞，藉以抒發學生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畢業憂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喜參半的心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情，在此求學轉折點上，凝聚感情，營造共同記憶。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2.臨別依依，能學會感謝師長的教導，珍惜同窗之緣，欣喜迎向挑戰。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619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1-3-4　1-3-5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2-3-1　2-3-2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　4-3-3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矣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第4課 大樹青青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1.能學會朗誦課文，並能演唱新歌詞，藉以抒發學生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畢業憂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喜參半的心情，在此求學轉折點上，凝聚感情，營造共同記憶。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2.能延伸學習了解臺灣的學制，提早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規畫學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程藍圖。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實踐</w:t>
            </w:r>
          </w:p>
        </w:tc>
      </w:tr>
      <w:tr w:rsidR="00EB5B2C">
        <w:trPr>
          <w:trHeight w:val="1457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1-3-4　1-3-5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2-3-1　2-3-2　2-3-7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3-3-4　4-3-3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矣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第4課 大樹青青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1.能完成本課評量。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2.能分辨本課所學的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文白音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【家政教育】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13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1-3-2　1-3-8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2-3-2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矣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第5課 讀俗諺學智慧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1.能學會各俗諺的講法。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2.能理解俗諺的內涵與意義。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3.能將學會之俗諺應用於生活談話中。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1301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1-3-1　1-3-2　1-3-8　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2-3-2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矣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第5課 讀俗諺學智慧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1.藉由「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我攏會曉矣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三」了解學生是否正確理解臺灣學制及俗諺，並了解其用法。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2.藉《孟浩然之廣陵》此詩，讓學生體會離別的心情，並能學會欣賞唐詩。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32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1-3-7　1-3-8 2-3-10　4-3-1　4-3-2　4-3-5</w:t>
            </w: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三、我大漢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矣</w:t>
            </w:r>
            <w:proofErr w:type="gramEnd"/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單元活動三</w:t>
            </w:r>
          </w:p>
        </w:tc>
        <w:tc>
          <w:tcPr>
            <w:tcW w:w="1985" w:type="dxa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1.能熟念念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謠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歌詞。</w:t>
            </w:r>
          </w:p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2.能熟唱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唸謠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歌曲，並體會歌曲意境。</w:t>
            </w: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口試</w:t>
            </w:r>
          </w:p>
        </w:tc>
      </w:tr>
      <w:tr w:rsidR="00EB5B2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畢業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198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B5B2C">
        <w:trPr>
          <w:trHeight w:val="810"/>
        </w:trPr>
        <w:tc>
          <w:tcPr>
            <w:tcW w:w="365" w:type="dxa"/>
            <w:tcBorders>
              <w:left w:val="single" w:sz="12" w:space="0" w:color="000000"/>
            </w:tcBorders>
            <w:vAlign w:val="center"/>
          </w:tcPr>
          <w:p w:rsidR="00EB5B2C" w:rsidRDefault="00EB5B2C" w:rsidP="00EB5B2C">
            <w:pPr>
              <w:ind w:left="0" w:hanging="2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週</w:t>
            </w:r>
            <w:proofErr w:type="gramEnd"/>
          </w:p>
        </w:tc>
        <w:tc>
          <w:tcPr>
            <w:tcW w:w="544" w:type="dxa"/>
            <w:vAlign w:val="center"/>
          </w:tcPr>
          <w:p w:rsidR="00EB5B2C" w:rsidRDefault="00EB5B2C" w:rsidP="00EB5B2C">
            <w:pPr>
              <w:ind w:left="0" w:right="57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330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3126" w:type="dxa"/>
            <w:vAlign w:val="center"/>
          </w:tcPr>
          <w:p w:rsidR="00EB5B2C" w:rsidRDefault="00EB5B2C" w:rsidP="00EB5B2C">
            <w:pPr>
              <w:ind w:left="0" w:hanging="2"/>
              <w:jc w:val="both"/>
              <w:rPr>
                <w:rFonts w:ascii="PMingLiu" w:eastAsia="PMingLiu" w:hAnsi="PMingLiu" w:cs="PMingLiu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szCs w:val="24"/>
              </w:rPr>
              <w:t>畢業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  <w:tc>
          <w:tcPr>
            <w:tcW w:w="1985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MingLiu" w:eastAsia="MingLiu" w:hAnsi="MingLiu" w:cs="MingLiu"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MingLiu" w:eastAsia="MingLiu" w:hAnsi="MingLiu" w:cs="MingLiu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tcBorders>
              <w:right w:val="single" w:sz="12" w:space="0" w:color="000000"/>
            </w:tcBorders>
            <w:vAlign w:val="center"/>
          </w:tcPr>
          <w:p w:rsidR="00EB5B2C" w:rsidRDefault="00EB5B2C" w:rsidP="00EB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</w:tbl>
    <w:p w:rsidR="00C812C7" w:rsidRDefault="00C81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MingLiu" w:eastAsia="PMingLiu" w:hAnsi="PMingLiu" w:cs="PMingLiu"/>
          <w:color w:val="000000"/>
          <w:szCs w:val="24"/>
        </w:rPr>
      </w:pPr>
      <w:bookmarkStart w:id="0" w:name="_GoBack"/>
      <w:bookmarkEnd w:id="0"/>
    </w:p>
    <w:sectPr w:rsidR="00C812C7">
      <w:pgSz w:w="12242" w:h="15842"/>
      <w:pgMar w:top="873" w:right="663" w:bottom="87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華康中圓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Calibri"/>
    <w:charset w:val="00"/>
    <w:family w:val="auto"/>
    <w:pitch w:val="default"/>
  </w:font>
  <w:font w:name="MingLi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A84"/>
    <w:multiLevelType w:val="multilevel"/>
    <w:tmpl w:val="E52E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2C7"/>
    <w:rsid w:val="00C812C7"/>
    <w:rsid w:val="00E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18A9"/>
  <w15:docId w15:val="{7D1DF5B8-5D33-4401-9C5C-8DE2D31A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細明體" w:eastAsia="細明體" w:hAnsi="Courier New"/>
      <w:position w:val="-1"/>
      <w:sz w:val="24"/>
    </w:rPr>
  </w:style>
  <w:style w:type="paragraph" w:styleId="10">
    <w:name w:val="heading 1"/>
    <w:basedOn w:val="a"/>
    <w:next w:val="a"/>
    <w:uiPriority w:val="9"/>
    <w:qFormat/>
    <w:pPr>
      <w:keepNext/>
      <w:jc w:val="center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num" w:pos="720"/>
      </w:tabs>
      <w:spacing w:line="480" w:lineRule="atLeas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40" w:after="60"/>
      <w:jc w:val="center"/>
    </w:pPr>
    <w:rPr>
      <w:rFonts w:ascii="Arial" w:eastAsia="新細明體" w:hAnsi="Arial"/>
      <w:b/>
      <w:sz w:val="32"/>
    </w:rPr>
  </w:style>
  <w:style w:type="paragraph" w:customStyle="1" w:styleId="a4">
    <w:name w:val="內一"/>
    <w:basedOn w:val="a"/>
    <w:pPr>
      <w:spacing w:line="360" w:lineRule="atLeast"/>
      <w:jc w:val="both"/>
    </w:pPr>
    <w:rPr>
      <w:rFonts w:ascii="新細明體" w:eastAsia="新細明體" w:hAnsi="Times New Roman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atLeas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pacing w:line="280" w:lineRule="atLeas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8">
    <w:name w:val="Plain Text"/>
    <w:basedOn w:val="a"/>
    <w:pPr>
      <w:adjustRightInd w:val="0"/>
      <w:textAlignment w:val="baseline"/>
    </w:pPr>
    <w:rPr>
      <w:kern w:val="2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a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caption"/>
    <w:basedOn w:val="a"/>
    <w:next w:val="a"/>
    <w:pPr>
      <w:spacing w:before="120" w:after="120"/>
    </w:p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page" w:hAnchor="page" w:yAlign="inline"/>
      <w:numPr>
        <w:ilvl w:val="2"/>
        <w:numId w:val="1"/>
      </w:numPr>
      <w:tabs>
        <w:tab w:val="num" w:pos="-34"/>
      </w:tabs>
      <w:spacing w:afterLines="50" w:after="120" w:line="400" w:lineRule="atLeast"/>
      <w:ind w:left="826" w:rightChars="360" w:right="864" w:firstLineChars="0" w:hanging="50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pacing w:line="280" w:lineRule="atLeas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pacing w:line="280" w:lineRule="atLeas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pacing w:line="280" w:lineRule="atLeas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pacing w:line="280" w:lineRule="atLeas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atLeast"/>
      <w:ind w:left="624" w:right="57" w:hanging="567"/>
      <w:jc w:val="both"/>
      <w:textAlignment w:val="top"/>
    </w:pPr>
    <w:rPr>
      <w:rFonts w:ascii="新細明體" w:eastAsia="新細明體"/>
      <w:sz w:val="16"/>
      <w:szCs w:val="16"/>
    </w:rPr>
  </w:style>
  <w:style w:type="character" w:styleId="HTML">
    <w:name w:val="HTML Typewriter"/>
    <w:rPr>
      <w:rFonts w:ascii="細明體" w:eastAsia="細明體" w:hAnsi="細明體" w:cs="細明體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pPr>
      <w:tabs>
        <w:tab w:val="left" w:pos="142"/>
      </w:tabs>
      <w:spacing w:line="220" w:lineRule="atLeast"/>
      <w:ind w:left="227" w:right="57" w:hanging="170"/>
      <w:jc w:val="both"/>
      <w:textAlignment w:val="top"/>
    </w:pPr>
    <w:rPr>
      <w:rFonts w:ascii="新細明體" w:eastAsia="新細明體"/>
      <w:sz w:val="16"/>
    </w:rPr>
  </w:style>
  <w:style w:type="paragraph" w:customStyle="1" w:styleId="50">
    <w:name w:val="5.【十大能力指標】內文字（一、二、三、）"/>
    <w:basedOn w:val="a"/>
    <w:pPr>
      <w:tabs>
        <w:tab w:val="left" w:pos="329"/>
      </w:tabs>
      <w:spacing w:line="240" w:lineRule="atLeas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pPr>
      <w:spacing w:line="420" w:lineRule="atLeas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(1)建議表標題"/>
    <w:basedOn w:val="a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rPr>
      <w:rFonts w:ascii="Times New Roman" w:eastAsia="新細明體" w:hAnsi="Times New Roman"/>
      <w:kern w:val="2"/>
      <w:szCs w:val="24"/>
      <w:lang/>
    </w:rPr>
  </w:style>
  <w:style w:type="character" w:customStyle="1" w:styleId="af7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styleId="af8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9">
    <w:name w:val="annotation subject"/>
    <w:basedOn w:val="af6"/>
    <w:next w:val="af6"/>
    <w:rPr>
      <w:rFonts w:ascii="細明體" w:eastAsia="細明體" w:hAnsi="Courier New"/>
      <w:b/>
      <w:bCs/>
      <w:kern w:val="0"/>
      <w:szCs w:val="20"/>
      <w:lang w:val="en-US"/>
    </w:rPr>
  </w:style>
  <w:style w:type="paragraph" w:styleId="afa">
    <w:name w:val="Balloon Text"/>
    <w:basedOn w:val="a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pPr>
      <w:spacing w:line="400" w:lineRule="atLeast"/>
      <w:jc w:val="both"/>
    </w:pPr>
    <w:rPr>
      <w:rFonts w:ascii="Times New Roman" w:eastAsia="標楷體" w:hAnsi="Times New Roman"/>
      <w:kern w:val="2"/>
    </w:rPr>
  </w:style>
  <w:style w:type="paragraph" w:customStyle="1" w:styleId="afb">
    <w:name w:val="【家政教育】"/>
    <w:basedOn w:val="a"/>
    <w:pPr>
      <w:widowControl/>
      <w:jc w:val="center"/>
    </w:pPr>
    <w:rPr>
      <w:rFonts w:ascii="標楷體" w:eastAsia="標楷體" w:hAnsi="標楷體"/>
      <w:color w:val="000000"/>
      <w:kern w:val="2"/>
      <w:sz w:val="26"/>
      <w:szCs w:val="24"/>
    </w:rPr>
  </w:style>
  <w:style w:type="character" w:customStyle="1" w:styleId="afc">
    <w:name w:val="【家政教育】 字元"/>
    <w:rPr>
      <w:rFonts w:ascii="標楷體" w:eastAsia="標楷體" w:hAnsi="標楷體"/>
      <w:color w:val="000000"/>
      <w:w w:val="100"/>
      <w:kern w:val="2"/>
      <w:position w:val="-1"/>
      <w:sz w:val="26"/>
      <w:szCs w:val="24"/>
      <w:effect w:val="none"/>
      <w:vertAlign w:val="baseline"/>
      <w:cs w:val="0"/>
      <w:em w:val="none"/>
    </w:rPr>
  </w:style>
  <w:style w:type="paragraph" w:customStyle="1" w:styleId="afd">
    <w:name w:val="【人權教育】"/>
    <w:basedOn w:val="a"/>
    <w:pPr>
      <w:widowControl/>
      <w:jc w:val="center"/>
    </w:pPr>
    <w:rPr>
      <w:rFonts w:ascii="標楷體" w:eastAsia="標楷體" w:hAnsi="標楷體"/>
      <w:color w:val="993300"/>
      <w:kern w:val="2"/>
      <w:sz w:val="26"/>
      <w:szCs w:val="24"/>
    </w:rPr>
  </w:style>
  <w:style w:type="character" w:customStyle="1" w:styleId="afe">
    <w:name w:val="【人權教育】 字元"/>
    <w:rPr>
      <w:rFonts w:ascii="標楷體" w:eastAsia="標楷體" w:hAnsi="標楷體"/>
      <w:color w:val="993300"/>
      <w:w w:val="100"/>
      <w:kern w:val="2"/>
      <w:position w:val="-1"/>
      <w:sz w:val="26"/>
      <w:szCs w:val="24"/>
      <w:effect w:val="none"/>
      <w:vertAlign w:val="baseline"/>
      <w:cs w:val="0"/>
      <w:em w:val="none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SfnwGx4JNGwq7Lc3UPBgQ6y2zA==">AMUW2mVcyivWpOA2/kMrjm41n7ypDCcMYuR79x7BVKJKoXJj/Gc/sHhYWucOau8v9dvBlb24GjKeapJLWFhSsGlBORs2P+N1pLtnG69nd+wXFydGpIN3MOU=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2021-07-07T01:20:00Z</dcterms:created>
  <dcterms:modified xsi:type="dcterms:W3CDTF">2021-07-12T01:51:00Z</dcterms:modified>
</cp:coreProperties>
</file>