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C1" w:rsidRDefault="00130D02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嘉義市港坪國民小學社會領域課程計畫</w:t>
      </w:r>
    </w:p>
    <w:tbl>
      <w:tblPr>
        <w:tblStyle w:val="afc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954AC1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嘉義市港坪國小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學年度第一學期四年級</w:t>
            </w:r>
          </w:p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社會領域課程計畫</w:t>
            </w:r>
          </w:p>
        </w:tc>
      </w:tr>
      <w:tr w:rsidR="00954AC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954AC1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認識家鄉的意義。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認識地圖的要素。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了解地圖的功用。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學習繪製地圖的流程。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認識家鄉的位置。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認識家鄉的範圍。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認識家鄉地名的由來。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了解家鄉地名的演變。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培養關懷家鄉的態度。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>
              <w:rPr>
                <w:rFonts w:ascii="標楷體" w:eastAsia="標楷體" w:hAnsi="標楷體" w:cs="標楷體"/>
              </w:rPr>
              <w:t>認識不同地形的環境特徵。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>
              <w:rPr>
                <w:rFonts w:ascii="標楷體" w:eastAsia="標楷體" w:hAnsi="標楷體" w:cs="標楷體"/>
              </w:rPr>
              <w:t>說出地形對居民生活的影響。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>
              <w:rPr>
                <w:rFonts w:ascii="標楷體" w:eastAsia="標楷體" w:hAnsi="標楷體" w:cs="標楷體"/>
              </w:rPr>
              <w:t>觀察不同的地形環境下的生活型態。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13.</w:t>
            </w:r>
            <w:r>
              <w:rPr>
                <w:rFonts w:ascii="標楷體" w:eastAsia="標楷體" w:hAnsi="標楷體" w:cs="標楷體"/>
              </w:rPr>
              <w:t>調查家鄉不同地區所發展的獨特生活方式。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>
              <w:rPr>
                <w:rFonts w:ascii="標楷體" w:eastAsia="標楷體" w:hAnsi="標楷體" w:cs="標楷體"/>
              </w:rPr>
              <w:t>善用家鄉的自然環境資源。</w:t>
            </w:r>
          </w:p>
          <w:p w:rsidR="00954AC1" w:rsidRDefault="00130D02">
            <w:pPr>
              <w:tabs>
                <w:tab w:val="left" w:pos="336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15.</w:t>
            </w:r>
            <w:r>
              <w:rPr>
                <w:rFonts w:ascii="標楷體" w:eastAsia="標楷體" w:hAnsi="標楷體" w:cs="標楷體"/>
              </w:rPr>
              <w:t>順應家鄉自然環境，建立有特色的生活方式。</w:t>
            </w:r>
          </w:p>
        </w:tc>
      </w:tr>
      <w:tr w:rsidR="00954AC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954AC1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954AC1" w:rsidRDefault="00130D02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954AC1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測量距離、閱讀地圖、使用符號繪製簡略平面地圖。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課、發現家鄉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認識家鄉的意義。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認識地圖的要素。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了解地圖的功用。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學習繪製地圖的流程。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認識家鄉的位置。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認識家鄉的範圍。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能操作基本科學技能與運用網路資訊蒐集環境資料。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測量距離、閱讀地圖、使用符號繪製簡略平面地圖。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課、發現家鄉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認識家鄉的意義。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認識地圖的要素。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了解地圖的功用。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學習繪製地圖的流程。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認識家鄉的位置。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認識家鄉的範圍。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能操作基本科學技能與運用網路資訊蒐集環境資料。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一、我們的家鄉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課、家鄉的地名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認識家鄉地名的由來。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了解家鄉地名的演變。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培養關懷家鄉的態度。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77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一、我們的家鄉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社會放大鏡、從「蛤仔難」到宜蘭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認識家鄉地名的由來。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了解家鄉地名的演變。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描述不同地方居民的生活方式。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覺察人們對地方與環境的認識與感受具有差異性，並能表達對家鄉的關懷。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覺察生活空間的型態具有地區性差異。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課、家鄉的地形與生活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認識不同地形的環境特徵。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說出地形對居民生活的影響。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觀察不同的地形環境下的生活型態。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調查家鄉不同地區所發展的獨特生活方式。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善用家鄉的自然環境資源。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順應家鄉自然環境，建立有特色的生活方式。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覺知自己的生活方式對環境的影響。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瞭解生活周遭的環境問題及其對個人、學校與社區的影響。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尊重不同族群與文化背景對環境的態度及行為。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說明家鄉或鄰近的水域環境變遷對生活的影響。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46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描述不同地方居民的生活方式。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覺察人們對地方與環境的認識與感受具有差異性，並能表達對家鄉的關懷。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覺察生活空間的型態具有地區性差異。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課、家鄉的氣候與生活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調查家鄉不同地區所發展的獨特生活方式。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認識家鄉的氣候特徵。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了解氣候與家鄉生活的關係。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善用家鄉的自然環境資源。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順應家鄉自然環境，建立有特色的生活方式。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瞭解生活周遭的環境問題及其對個人、學校與社區的影響。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臺灣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不同季節的天氣變化。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71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描述不同地方居民的生活方式。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覺察人們對地方與環境的認識與感受具有差異性，並能表達對家鄉的關懷。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覺察生活空間的型態具有地區性差異。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二、家鄉的自然環境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社會放大鏡、澎湖的特色風情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說出地形對居民生活的影響。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認識家鄉的氣候特徵。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了解氣候與家鄉生活的關係。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善用家鄉的自然環境資源。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順應家鄉自然環境，建立有特色的生活方式。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瞭解生活周遭的環境問題及其對個人、學校與社區的影響。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覺察聚落的形成在於符合人類聚居生活的需求。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三、家鄉的開發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課、家鄉的先民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認識家鄉環境特色。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了解家鄉先民的遷移。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了解家鄉先民的開發需求與方式。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了解家鄉環境特色與聚居的形成。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覺察聚落的形成在於符合人類聚居生活的需求。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覺察生活空間的型態具有地區性差異。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三、家鄉的開發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課、開發城與鄉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了解聚居的成因是為了滿足居民生活需求。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分析聚落發展的差異。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探究聚落的變遷與居民生活、家鄉環境的關係。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探究聚落的發展與家鄉居民使用家鄉環境的態度。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說明家鄉或鄰近的水域環境變遷對生活的影響。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覺察聚落的形成在於符合人類聚居生活的需求。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覺察生活空間的型態具有地區性差異。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動的歷史變遷。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三、家鄉的開發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社會放大鏡、淡水的今與昔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了解聚居的成因是為了滿足居民生活需求。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探究聚落的發展與家鄉居民使用家鄉環境的態度。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48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課、居民與產業活動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認識居民參與家鄉農漁牧業的狀況。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認識居民參與家鄉製造業的狀況。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認識居民參與家鄉商業與服務業的狀況。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62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課、居民與產業活動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認識居民參與家鄉農漁牧業的狀況。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認識居民參與家鄉製造業的狀況。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認識居民參與家鄉商業與服務業的狀況。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認識各種資源，並說明其受損、消失、再生或創造的情形，並能愛護資源。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四、家鄉的產業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課、家鄉產業的變遷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認識家鄉產業面臨的挑戰。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認識家鄉發展創新的做法。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舉出家鄉產業轉型的例子。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舉例家鄉產業的新興職業。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思考家鄉產業未來的發展。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覺知自己的生活方式對環境的影響。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認識各種資源，並說明其受損、消失、再生或創造的情形，並能愛護資源。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四、家鄉的產業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社會放大鏡、重視食安，桃園的有機蔬菜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認識家鄉發展創新的做法。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舉出家鄉產業轉型的例子。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思考家鄉產業未來的發展。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舉例說明為了生活需要和解決問題，人類才從事科學和技術的發展。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五、家鄉的科技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課、科技的進步與家鄉生活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認識早期居民的取水方式。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認識早期居民的作息。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認識早期居民治療疾病的方法。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認識早期資訊傳播的方式。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了解早期生活的不方便。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了解居民克服環境限制，發展新科技。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認識水、電、醫療及通訊科技從早期到現代的變化。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覺知自己的生活方式對環境的影響。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130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五、家鄉的科技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課、現代生活新樣貌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認識新科技在生活中的應用。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認識科技發展對居民食衣住行各方面生活的影響。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了解網路應用帶給生活的便利。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了解使用網路時的適當做法。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培養使用網路的正確態度以保護自身安全。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能瞭解資訊科技在日常生活之應用。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能操作常用瀏覽器的基本功能。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能遵守網路使用規範。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覺知自己的生活方式對環境的影響。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家政教育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察覺自己家庭的生活習慣。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五、家鄉的科技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社會放大鏡、多功能的日月潭水庫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認識新科技在生活中的應用。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認識各種資源，並說明其受損、消失、再生或創造的情形，並能愛護資源。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課、家鄉的自然資源與危機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知道家鄉的自然資源。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了解家鄉自然資源面臨的危機。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瞭解生活周遭的環境問題及其對個人、學校與社區的影響。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認識生活周遭的環境問題形成的原因，並探究可能的改善方法。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4-2-3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能表達自己對生活環境的意見，並傾聽他人對環境的想法。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說明家鄉或鄰近的水域環境變遷對生活的影響。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舉例說明自己可以決定自我的發展並具有參與群體發展的權利。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認識各種資源，並說明其受損、消失、再生或創造的情形，並能愛護資源。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舉例說明為了生活需要和解決問題，人類才從事科學和技術的發展。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課、保護家鄉齊心努力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了解家鄉自然資源復育的情形。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了解科學技術協助資源復育的方式。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認識家鄉維護自然環境的團體。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了解維護自然環境的措施。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培養愛護自然資源的觀念。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培養關懷家鄉生活環境的態度。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能操作常用瀏覽器的基本功能。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覺知自己的生活方式對環境的影響。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認識生活周遭的環境問題形成的原因，並探究可能的改善方法。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能表達自己對生活環境的意見，並傾聽他人對環境的想法。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家政教育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察覺自己家庭的生活習慣。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認識個人生活中可回收的資源。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關懷河流或海洋生物與環境，養成愛護生物、尊重生命、珍惜自然的態度。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參與河流或海洋環境的維護，如淨灘、淨溪等。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舉例說明自己可以決定自我的發展並具有參與群體發展的權利。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種資源，並說明其受損、消失、再生或創造的情形，並能愛護資源。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六、愛護家鄉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社會放大鏡、蛻變新生的雲林縣成龍溼地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知道家鄉的自然資源。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了解家鄉自然資源面臨的危機。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了解家鄉自然資源復育的情形。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了解維護自然環境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的措施。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培養愛護自然資源的觀念。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認識生活周遭的環境問題形成的原因，並探究可能的改善方法。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5-2-7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關懷河流或海洋生物與環境，養成愛護生物、尊重生命、珍惜自然的態度。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舉例說明自己可以決定自我的發展並具有參與群體發展的權利。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認識各種資源，並說明其受損、消失、再生或創造的情形，並能愛護資源。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六、愛護家鄉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社會放大鏡、蛻變新生的雲林縣成龍溼地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知道家鄉的自然資源。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了解家鄉自然資源面臨的危機。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了解家鄉自然資源復育的情形。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了解維護自然環境的措施。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培養愛護自然資源的觀念。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認識生活周遭的環境問題形成的原因，並探究可能的改善方法。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關懷河流或海洋生物與環境，養成愛護生物、尊重生命、珍惜自然的態度。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口語評量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態度檢核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</w:tc>
      </w:tr>
    </w:tbl>
    <w:p w:rsidR="00954AC1" w:rsidRDefault="00954AC1">
      <w:pPr>
        <w:rPr>
          <w:rFonts w:ascii="標楷體" w:eastAsia="標楷體" w:hAnsi="標楷體" w:cs="標楷體"/>
        </w:rPr>
      </w:pPr>
    </w:p>
    <w:p w:rsidR="00954AC1" w:rsidRDefault="00130D02">
      <w:pPr>
        <w:rPr>
          <w:rFonts w:ascii="標楷體" w:eastAsia="標楷體" w:hAnsi="標楷體" w:cs="標楷體"/>
        </w:rPr>
      </w:pPr>
      <w:r>
        <w:br w:type="page"/>
      </w:r>
    </w:p>
    <w:tbl>
      <w:tblPr>
        <w:tblStyle w:val="afd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954AC1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嘉義市港坪國小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學年度第二學期四年級</w:t>
            </w:r>
          </w:p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領域課程計畫</w:t>
            </w:r>
          </w:p>
        </w:tc>
      </w:tr>
      <w:tr w:rsidR="00954AC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954AC1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認識家鄉的政府機構及其服務事項。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認識家鄉的民意機構及其服務事項。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認識家鄉的民間組織及其服務事項。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了解家鄉的設施及其對居民生活的影響。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了解政府機構和民間組織合作的重要性。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了解運用及監督家鄉機構與組織的方法。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培養珍惜家鄉機構與組織資源的態度。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了解應對家鄉裡為我們服務的人表達感謝。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認識家鄉早期的陸路運輸工具。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認識家鄉早期的水路運輸工具。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了解早期交通對居民生活往來、貨物運輸的影響。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認識現代都市的交通型態。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認識現代鄉村的交通型態。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認識現代海邊與離島的交通型態。</w:t>
            </w:r>
          </w:p>
          <w:p w:rsidR="00954AC1" w:rsidRDefault="00130D02">
            <w:pPr>
              <w:numPr>
                <w:ilvl w:val="0"/>
                <w:numId w:val="1"/>
              </w:numPr>
              <w:tabs>
                <w:tab w:val="left" w:pos="336"/>
              </w:tabs>
              <w:ind w:left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了解現代交通改善居民的對外聯絡方式。</w:t>
            </w:r>
          </w:p>
        </w:tc>
      </w:tr>
      <w:tr w:rsidR="00954AC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954AC1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954AC1" w:rsidRDefault="00130D02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954AC1" w:rsidRDefault="00130D0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954AC1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從周遭生活中舉例指出權力如何影響個體或群體權益（如形成秩序、促進效益或傷害權益等）。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一、家鄉的機構與組織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課、認識家鄉的機構與組織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認識家鄉的政府機構及其服務事項。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認識家鄉的民意機構及其服務事項。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認識家鄉的民間組織及其服務事項。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了解家鄉的設施及其對居民生活的影響。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了解政府機構和民間組織合作的重要性。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具有參與調查生活周遭環境問題的經驗。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從周遭生活中舉例指出權力如何影響個體或群體權益（如形成秩序、促進效益或傷害權益等）。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實踐個人對其所屬之群體（如家庭和學校班級）所擁有之權利和所負之義務。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一、家鄉的機構與組織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課、善用家鄉的機構與組織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了解運用及監督家鄉機構與組織的方法。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培養珍惜家鄉機構與組織資源的態度。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了解應對家鄉裡為我們服務的人表達感謝。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具有參與調查生活周遭環境問題的經驗。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實踐個人對其所屬之群體（如家庭和學校班級）所擁有之權利和所負之義務。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一、家鄉的機構與組織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社會放大鏡、撒播希望種子的花蓮縣青少年公益組織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培養珍惜家鄉機構與組織資源的態度。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了解應對家鄉裡為我們服務的人表達感謝。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77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說出居住地方的交通狀況，並說明這些交通狀況與生活的關係。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二、家鄉的交通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課、早期的交通型態與影響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認識家鄉早期的陸路運輸工具。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認識家鄉早期的水路運輸工具。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了解早期交通對居民生活往來、貨物運輸的影響。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激發對工作世界的好奇心。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認識家鄉或鄰近的水域環境變遷。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說明家鄉或鄰近的水域環境變遷對生活的影響。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說出居住地方的交通狀況，並說明這些交通狀況與生活的關係。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瞭解居住地方的人文環境與經濟活動的歷史變遷。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二、家鄉的交通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課、早期的交通型態與影響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認識家鄉早期的陸路運輸工具。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認識家鄉早期的水路運輸工具。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了解早期交通對居民生活往來、貨物運輸的影響。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激發對工作世界的好奇心。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認識家鄉或鄰近的水域環境變遷。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說明家鄉或鄰近的水域環境變遷對生活的影響。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46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說出居住地方的交通狀況，並說明這些交通狀況與生活的關係。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瞭解居住地方的人文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環境與經濟活動的歷史變遷。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舉例說明為了生活需要和解決問題，人類才從事科學和技術的發展。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二、家鄉的交通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課、現代的交通型態與影響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認識現代都市的交通型態。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認識現代鄉村的交通型態。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認識現代海邊與離島的交通型態。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了解現代交通改善居民的對外聯絡方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式。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了解現代交通加速各地貨物流通。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規畫家鄉旅遊交通路線與選擇交通工具。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激發對工作世界的好奇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心。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認識不同類型工作內容。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海洋教育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認識家鄉或鄰近的水域環境變遷。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說明家鄉或鄰近的水域環境變遷對生活的影響。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71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說出居住地方的交通狀況，並說明這些交通狀況與生活的關係。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舉例說明科學和技術的發展，改變了人類生活和自然環境。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二、家鄉的交通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社會放大鏡、戀戀舊山線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認識現代都市的交通型態。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了解現代交通改善居民的對外聯絡方式。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調查居住地方人口的分布、組成和變遷狀況。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覺察聚落的形成在於符合人類聚居生活的需求。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三、家鄉的人口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課、家鄉人口的組成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認識人口組成的情形。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說出家鄉人口的組成情形。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說出人口組成對家鄉生活的影響。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學習閱讀各種人口統計圖表。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能操作常用瀏覽器的基本功能。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調查居住地方人口的分布、組成和變遷狀況。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覺察聚落的形成在於符合人類聚居生活的需求。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三、家鄉的人口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課、家鄉人口的分布與變化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152" w:hanging="15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認識人口分布的現象。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說出家鄉人口的分布情形。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說出影響家鄉人口分布的可能因素。</w:t>
            </w:r>
          </w:p>
          <w:p w:rsidR="00954AC1" w:rsidRDefault="00130D02">
            <w:pPr>
              <w:ind w:left="152" w:hanging="15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認識人口變化的現象。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說出家鄉人口的變化情形。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了解影響家鄉人口變化的原因。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學習查詢家鄉人口資料的方法。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學習閱讀各種人口統計圖表。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能操作常用瀏覽器的基本功能。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調查居住地方人口的分布、組成和變遷狀況。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覺察聚落的形成在於符合人類聚居生活的需求。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三、家鄉的人口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社會放大鏡、寧靜山城北埔記事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152" w:hanging="15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認識人口組成的情形。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說出人口組成對家鄉生活的影響。</w:t>
            </w:r>
          </w:p>
          <w:p w:rsidR="00954AC1" w:rsidRDefault="00130D02">
            <w:pPr>
              <w:ind w:left="152" w:hanging="15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認識人口分布的現象。</w:t>
            </w:r>
          </w:p>
          <w:p w:rsidR="00954AC1" w:rsidRDefault="00130D02">
            <w:pPr>
              <w:ind w:left="152" w:hanging="15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認識人口變化的現象。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了解影響家鄉人口變化的原因。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能操作基本科學技能與運用網路資訊蒐集環境資料。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48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了解居住地方的人文環境與經濟活動的歷史變遷。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認識居住地方的古蹟或考古發掘，並欣賞地方民俗之美。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四、家鄉的古蹟與名勝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課、家鄉的古蹟與名勝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了解古蹟名勝產生的背景。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了解古蹟名勝對家鄉文化發展及人民生活的影響。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了解古蹟名勝的保存、功能的轉化與人民生活的關係。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覺察生活周遭人文歷史與生態環境的變遷。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62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了解居住地方的人文環境與經濟活動的歷史變遷。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認識居住地方的古蹟或考古發掘，並欣賞地方民俗之美。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四、家鄉的古蹟與名勝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課、家鄉的古蹟與名勝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了解古蹟名勝產生的背景。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了解古蹟名勝對家鄉文化發展及人民生活的影響。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了解古蹟名勝的保存、功能的轉化與人民生活的關係。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覺察生活周遭人文歷史與生態環境的變遷。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了解居住地方的人文環境與經濟活動的歷史變遷。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認識居住地方的古蹟或考古發掘，並欣賞地方民俗之美。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四、家鄉的古蹟與名勝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課、愛護古蹟與名勝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了解古蹟名勝被破壞的原因。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了解古蹟名勝該如何維護。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了解古蹟名勝的改變與保存。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了解古蹟名勝的保存、功能的轉化與人民生活的關係。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覺察生活周遭人文歷史與生態環境的變遷。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能操作常用瀏覽器的基本功能。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了解居住地方的人文環境與經濟活動的歷史變遷。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四、家鄉的古蹟與名勝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社會放大鏡、紅樓夢與西門情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古蹟名勝的改變與保存。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古蹟名勝的保存、功能的轉化與人民生活的關係。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覺察生活周遭人文歷史與生態環境的變遷。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能操作常用瀏覽器的基本功能。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描述不同地區居民的生活方式。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五、家鄉的生活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課、家鄉古早味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了解家鄉的傳統飲食、文物及早期建築的樣態。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了解不同區域環境下的居民，如何發展出不同型態的傳統文化。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尊重不同族群與文化背景對環境的態度及行為。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130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舉例說明外來的文化、商品和資訊如何影響本地的文化和生活。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五、家鄉的生活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課、家鄉的多元文化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了解外來的生活方式、商品及文化。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了解外來的文化對居民產生的可能影響。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尊重不同族群與文化背景對環境的態度及行為。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人權教育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知道人權是普遍的、不容剝奪的，並能關心弱勢。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察覺並避免個人偏見與歧視態度或行為的產生。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舉例說明外來的文化、商品和資訊如何影響本地的文化和生活。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五、家鄉的生活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社會放大鏡、跟世界做朋友！臺灣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釐清傳統與外來文化的差異。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理解並能欣賞差異文化的不同處。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尊重不同族群與文化背景對環境的態度及行為。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人權教育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察覺並避免個人偏見與歧視態度或行為的產生。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覺察人們對地方與環境的認識與感受具有差異性，並能表達對家鄉的關懷。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六、家鄉新願景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課、家鄉的挑戰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了解家鄉問題形成的原因。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發現家鄉的問題。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認識家鄉發展的各種可能面向。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尋找適合家鄉發展的潛力。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認識生活周遭的環境問題形成的原因，並探究可能的改善方法。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6/13~6/17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受具有差異性，並能表達對家鄉的關懷。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舉例說明自己可以決定自我的發展並具有參與群體發展的權利。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實踐個人對其所屬之群體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如家庭和學校班級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所擁有之權利和所負之義務。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六、家鄉新願景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課、家鄉新風貌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認識關懷家鄉的民間與政府組織。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認識關懷家鄉的實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際做法。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主動關心家鄉面臨的問題。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主動參與關懷家鄉的行動。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能具體提出改善周遭環境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問題的措施。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能表達自己對生活環境的意見，並傾聽他人對環境的想法。</w:t>
            </w:r>
          </w:p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人權教育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欣賞、包容個別差異並尊重自己與他人的權利。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生涯發展教育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3-2-2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學習如何解決問題及做決定。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覺察人們對地方與環境的認識與感受具有差異性，並能表達對家鄉的關懷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舉例說明自己可以決定自我的發展並具有參與群體發展的權利。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實踐個人對其所屬之群體（如家庭和學校班級）所擁有之權利和所負之義務。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六、家鄉新願景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社會放大鏡、田滿小組：宜蘭農田種房屋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了解家鄉問題形成的原因。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認識關懷家鄉的實際做法。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  <w:tr w:rsidR="00954AC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描述居住地方的自然與人文特性。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覺察人們對地方與環境的認識與感受具有差異性，並能表達對家鄉的關懷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5-2-1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舉例說明自己可以決定自我的發展並具有參與群體發展的權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利。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實踐個人對其所屬之群體（如家庭和學校班級）所擁有之權利和所負之義務。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AC1" w:rsidRDefault="00130D02" w:rsidP="00130D0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六、家鄉新願景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社會放大鏡、田滿小組：宜蘭農田種房屋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了解家鄉問題形成的原因。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認識關懷家鄉的實際做法。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AC1" w:rsidRDefault="00130D02">
            <w:pPr>
              <w:ind w:left="460" w:hanging="46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環境教育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1-2-3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察覺生活周遭人文歷史與生態環境的變遷。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4AC1" w:rsidRDefault="0013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口語評量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觀察評量</w:t>
            </w:r>
          </w:p>
          <w:p w:rsidR="00954AC1" w:rsidRDefault="00130D0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態度檢核</w:t>
            </w:r>
          </w:p>
          <w:p w:rsidR="00954AC1" w:rsidRDefault="00130D0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實作評量</w:t>
            </w:r>
          </w:p>
        </w:tc>
      </w:tr>
    </w:tbl>
    <w:p w:rsidR="00954AC1" w:rsidRDefault="00954AC1">
      <w:pPr>
        <w:rPr>
          <w:rFonts w:ascii="標楷體" w:eastAsia="標楷體" w:hAnsi="標楷體" w:cs="標楷體"/>
        </w:rPr>
      </w:pPr>
    </w:p>
    <w:sectPr w:rsidR="00954AC1">
      <w:pgSz w:w="12242" w:h="15842"/>
      <w:pgMar w:top="873" w:right="663" w:bottom="87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華康中圓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8B0"/>
    <w:multiLevelType w:val="multilevel"/>
    <w:tmpl w:val="3D0EAF12"/>
    <w:lvl w:ilvl="0">
      <w:start w:val="1"/>
      <w:numFmt w:val="decimal"/>
      <w:lvlText w:val="%1."/>
      <w:lvlJc w:val="left"/>
      <w:pPr>
        <w:ind w:left="480" w:hanging="480"/>
      </w:pPr>
      <w:rPr>
        <w:sz w:val="20"/>
        <w:szCs w:val="2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pStyle w:val="1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C1"/>
    <w:rsid w:val="00130D02"/>
    <w:rsid w:val="0095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3A63F-56CA-43B7-BB67-5C193241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Theme="minorEastAsia" w:hAnsi="MingLiu" w:cs="MingLiu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Courier New"/>
    </w:rPr>
  </w:style>
  <w:style w:type="paragraph" w:styleId="10">
    <w:name w:val="heading 1"/>
    <w:basedOn w:val="a"/>
    <w:next w:val="a"/>
    <w:uiPriority w:val="9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customStyle="1" w:styleId="a4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</w:rPr>
  </w:style>
  <w:style w:type="paragraph" w:styleId="a8">
    <w:name w:val="Plain Text"/>
    <w:basedOn w:val="a"/>
    <w:rPr>
      <w:rFonts w:cs="Century"/>
      <w:kern w:val="2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ddP7J29+rjeYLoawsoDkuwrQEA==">AMUW2mXLlMJkldXjM1WN8/RNdCEWyuTmj5cq7cxirYITPIGlGhfK/hEhKeztlK24+0vbCHRoWvZpYJY9v33OeDGx7M/kwujhbDw9N5yk4/0jFqAC5Va1FxY=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1752</Words>
  <Characters>9988</Characters>
  <Application>Microsoft Office Word</Application>
  <DocSecurity>0</DocSecurity>
  <Lines>83</Lines>
  <Paragraphs>23</Paragraphs>
  <ScaleCrop>false</ScaleCrop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2020-06-09T06:11:00Z</dcterms:created>
  <dcterms:modified xsi:type="dcterms:W3CDTF">2021-07-16T03:21:00Z</dcterms:modified>
</cp:coreProperties>
</file>