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A96E2A">
      <w:pPr>
        <w:spacing w:afterLines="50" w:after="18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firstRow="1" w:lastRow="0" w:firstColumn="1" w:lastColumn="0" w:noHBand="0" w:noVBand="1"/>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lastRenderedPageBreak/>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11D9F">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C6DF6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w:t>
      </w:r>
      <w:r w:rsidR="00336CC3" w:rsidRPr="0097430E">
        <w:rPr>
          <w:rFonts w:ascii="標楷體" w:eastAsia="標楷體" w:hAnsi="標楷體" w:hint="eastAsia"/>
          <w:color w:val="000000"/>
        </w:rPr>
        <w:lastRenderedPageBreak/>
        <w:t>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lastRenderedPageBreak/>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w:t>
      </w:r>
      <w:r w:rsidR="00A47D71" w:rsidRPr="00807412">
        <w:rPr>
          <w:rFonts w:ascii="標楷體" w:eastAsia="標楷體" w:hAnsi="標楷體" w:hint="eastAsia"/>
          <w:color w:val="000000"/>
        </w:rPr>
        <w:lastRenderedPageBreak/>
        <w:t>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lastRenderedPageBreak/>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9"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3526AA"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772901"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959407"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B63557"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firstRow="0" w:lastRow="0" w:firstColumn="0" w:lastColumn="0" w:noHBand="0" w:noVBand="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firstRow="0" w:lastRow="0" w:firstColumn="0" w:lastColumn="0" w:noHBand="0" w:noVBand="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3DD15"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611D9F">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D51B8"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020"/>
      </w:tblGrid>
      <w:tr w:rsidR="00FF4112" w:rsidRPr="00DB5474" w:rsidTr="00611D9F">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lastRenderedPageBreak/>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892D2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892D23">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892D2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892D2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10"/>
      <w:footerReference w:type="default" r:id="rId11"/>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F5" w:rsidRDefault="001D33F5">
      <w:r>
        <w:separator/>
      </w:r>
    </w:p>
  </w:endnote>
  <w:endnote w:type="continuationSeparator" w:id="0">
    <w:p w:rsidR="001D33F5" w:rsidRDefault="001D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83DB8">
      <w:rPr>
        <w:rStyle w:val="ac"/>
        <w:noProof/>
      </w:rPr>
      <w:t>1</w:t>
    </w:r>
    <w:r>
      <w:rPr>
        <w:rStyle w:val="ac"/>
      </w:rPr>
      <w:fldChar w:fldCharType="end"/>
    </w:r>
  </w:p>
  <w:p w:rsidR="006D593D" w:rsidRDefault="006D593D" w:rsidP="0097480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F5" w:rsidRDefault="001D33F5">
      <w:r>
        <w:separator/>
      </w:r>
    </w:p>
  </w:footnote>
  <w:footnote w:type="continuationSeparator" w:id="0">
    <w:p w:rsidR="001D33F5" w:rsidRDefault="001D3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3760"/>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83DB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If.aspx?PCODE=A00100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A396-4146-4BEF-B5E8-05DE161B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2145</Words>
  <Characters>12232</Characters>
  <Application>Microsoft Office Word</Application>
  <DocSecurity>4</DocSecurity>
  <Lines>101</Lines>
  <Paragraphs>28</Paragraphs>
  <ScaleCrop>false</ScaleCrop>
  <Company/>
  <LinksUpToDate>false</LinksUpToDate>
  <CharactersWithSpaces>14349</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2020-03-04T09:49:00Z</cp:lastPrinted>
  <dcterms:created xsi:type="dcterms:W3CDTF">2020-03-12T07:40:00Z</dcterms:created>
  <dcterms:modified xsi:type="dcterms:W3CDTF">2020-03-12T07:40:00Z</dcterms:modified>
</cp:coreProperties>
</file>